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000000" w:rsidRPr="00000000" w:rsidP="00000000" w14:paraId="00000001">
      <w:pPr>
        <w:pStyle w:val="normal0"/>
        <w:spacing w:line="360" w:lineRule="auto"/>
        <w:jc w:val="left"/>
        <w:rPr>
          <w:sz w:val="24"/>
          <w:szCs w:val="24"/>
        </w:rPr>
      </w:pPr>
    </w:p>
    <w:p w:rsidR="00000000" w:rsidRPr="00000000" w:rsidP="00000000" w14:paraId="00000002">
      <w:pPr>
        <w:pStyle w:val="normal0"/>
        <w:spacing w:line="360" w:lineRule="auto"/>
        <w:jc w:val="right"/>
        <w:rPr>
          <w:sz w:val="24"/>
          <w:szCs w:val="24"/>
        </w:rPr>
      </w:pPr>
    </w:p>
    <w:p w:rsidR="00000000" w:rsidRPr="00000000" w:rsidP="00000000" w14:paraId="00000003">
      <w:pPr>
        <w:pStyle w:val="normal0"/>
        <w:spacing w:line="360" w:lineRule="auto"/>
        <w:jc w:val="right"/>
        <w:rPr>
          <w:sz w:val="24"/>
          <w:szCs w:val="24"/>
        </w:rPr>
      </w:pPr>
    </w:p>
    <w:p w:rsidR="00000000" w:rsidRPr="00000000" w:rsidP="00000000" w14:paraId="00000004">
      <w:pPr>
        <w:pStyle w:val="normal0"/>
        <w:spacing w:line="360" w:lineRule="auto"/>
        <w:jc w:val="right"/>
        <w:rPr>
          <w:sz w:val="24"/>
          <w:szCs w:val="24"/>
        </w:rPr>
      </w:pPr>
      <w:r w:rsidRPr="00000000">
        <w:rPr>
          <w:sz w:val="24"/>
          <w:szCs w:val="24"/>
        </w:rPr>
        <w:drawing>
          <wp:inline distT="114300" distB="114300" distL="114300" distR="114300">
            <wp:extent cx="1871472" cy="380695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1472" cy="380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5">
      <w:pPr>
        <w:pStyle w:val="normal0"/>
        <w:spacing w:line="360" w:lineRule="auto"/>
        <w:jc w:val="right"/>
      </w:pPr>
    </w:p>
    <w:p w:rsidR="00000000" w:rsidRPr="00000000" w:rsidP="00000000" w14:paraId="00000006">
      <w:pPr>
        <w:pStyle w:val="normal0"/>
        <w:spacing w:line="360" w:lineRule="auto"/>
        <w:jc w:val="center"/>
        <w:rPr>
          <w:b/>
        </w:rPr>
      </w:pPr>
    </w:p>
    <w:tbl>
      <w:tblPr>
        <w:tblStyle w:val="Table1"/>
        <w:bidiVisual/>
        <w:tblW w:w="9360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19"/>
        <w:gridCol w:w="5251"/>
        <w:gridCol w:w="988"/>
      </w:tblGrid>
      <w:tr>
        <w:tblPrEx>
          <w:tblW w:w="9360" w:type="dxa"/>
          <w:jc w:val="righ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cantSplit w:val="0"/>
          <w:tblHeader w:val="0"/>
          <w:jc w:val="righ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7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/>
              </w:rPr>
              <w:t>ترجمه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عربى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8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/>
              </w:rPr>
              <w:t>واژگان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فارسى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9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/>
              </w:rPr>
              <w:t>رديف</w:t>
            </w:r>
          </w:p>
        </w:tc>
      </w:tr>
      <w:tr>
        <w:tblPrEx>
          <w:tblW w:w="9360" w:type="dxa"/>
          <w:jc w:val="right"/>
          <w:tblLayout w:type="fixed"/>
          <w:tblLook w:val="0600"/>
        </w:tblPrEx>
        <w:trPr>
          <w:cantSplit w:val="0"/>
          <w:tblHeader w:val="0"/>
          <w:jc w:val="righ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A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b/>
                <w:color w:val="0000FF"/>
              </w:rPr>
            </w:pPr>
            <w:r w:rsidRPr="00000000">
              <w:rPr>
                <w:b/>
                <w:color w:val="0000FF"/>
                <w:rtl/>
              </w:rPr>
              <w:t>الأداء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الفريد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من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أجل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تقليل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نقل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الصوت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إلى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أقل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من</w:t>
            </w:r>
            <w:r w:rsidRPr="00000000">
              <w:rPr>
                <w:b/>
                <w:color w:val="0000FF"/>
                <w:rtl/>
              </w:rPr>
              <w:t xml:space="preserve"> 10 </w:t>
            </w:r>
            <w:r w:rsidRPr="00000000">
              <w:rPr>
                <w:b/>
                <w:color w:val="0000FF"/>
                <w:rtl/>
              </w:rPr>
              <w:t>ديسيبل</w:t>
            </w:r>
            <w:r w:rsidRPr="00000000">
              <w:rPr>
                <w:b/>
                <w:color w:val="0000FF"/>
                <w:rtl/>
              </w:rPr>
              <w:t xml:space="preserve"> </w:t>
            </w:r>
          </w:p>
          <w:p w:rsidR="00000000" w:rsidRPr="00000000" w:rsidP="00000000" w14:paraId="0000000B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  <w:color w:val="0000FF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C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/>
              </w:rPr>
              <w:t>عملكرد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بي</w:t>
            </w:r>
            <w:r w:rsidRPr="00000000">
              <w:rPr>
                <w:b/>
                <w:rtl/>
              </w:rPr>
              <w:t>‌</w:t>
            </w:r>
            <w:r w:rsidRPr="00000000">
              <w:rPr>
                <w:b/>
                <w:rtl/>
              </w:rPr>
              <w:t>نظير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كاهش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انتقال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صدا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تا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كمتر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از</w:t>
            </w:r>
            <w:r w:rsidRPr="00000000">
              <w:rPr>
                <w:b/>
                <w:rtl/>
              </w:rPr>
              <w:t xml:space="preserve"> 10 </w:t>
            </w:r>
            <w:r w:rsidRPr="00000000">
              <w:rPr>
                <w:b/>
                <w:rtl/>
              </w:rPr>
              <w:t>دسی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بل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D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 w:val="0"/>
              </w:rPr>
              <w:t>1</w:t>
            </w:r>
          </w:p>
        </w:tc>
      </w:tr>
      <w:tr>
        <w:tblPrEx>
          <w:tblW w:w="9360" w:type="dxa"/>
          <w:jc w:val="right"/>
          <w:tblLayout w:type="fixed"/>
          <w:tblLook w:val="0600"/>
        </w:tblPrEx>
        <w:trPr>
          <w:cantSplit w:val="0"/>
          <w:tblHeader w:val="0"/>
          <w:jc w:val="righ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E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b/>
                <w:color w:val="0000FF"/>
              </w:rPr>
            </w:pPr>
            <w:r w:rsidRPr="00000000">
              <w:rPr>
                <w:b/>
                <w:color w:val="0000FF"/>
                <w:rtl/>
              </w:rPr>
              <w:t>قوة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ومقاومة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عالية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للغاية</w:t>
            </w:r>
            <w:r w:rsidRPr="00000000">
              <w:rPr>
                <w:b/>
                <w:color w:val="0000FF"/>
                <w:rtl/>
              </w:rPr>
              <w:t xml:space="preserve"> ، </w:t>
            </w:r>
            <w:r w:rsidRPr="00000000">
              <w:rPr>
                <w:b/>
                <w:color w:val="0000FF"/>
                <w:rtl/>
              </w:rPr>
              <w:t>أفضل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بديل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للحديد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الزهر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F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/>
              </w:rPr>
              <w:t>استحکام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و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مقاومت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فوق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العاده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در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بالا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بهترین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جایگزین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براى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چدن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0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 w:val="0"/>
              </w:rPr>
              <w:t>2</w:t>
            </w:r>
          </w:p>
        </w:tc>
      </w:tr>
      <w:tr>
        <w:tblPrEx>
          <w:tblW w:w="9360" w:type="dxa"/>
          <w:jc w:val="right"/>
          <w:tblLayout w:type="fixed"/>
          <w:tblLook w:val="0600"/>
        </w:tblPrEx>
        <w:trPr>
          <w:cantSplit w:val="0"/>
          <w:tblHeader w:val="0"/>
          <w:jc w:val="righ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1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  <w:color w:val="0000FF"/>
              </w:rPr>
            </w:pPr>
            <w:r w:rsidRPr="00000000">
              <w:rPr>
                <w:b/>
                <w:color w:val="0000FF"/>
                <w:rtl/>
              </w:rPr>
              <w:t>صلابة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دائرية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عالية</w:t>
            </w:r>
            <w:r w:rsidRPr="00000000">
              <w:rPr>
                <w:b/>
                <w:color w:val="0000FF"/>
                <w:rtl/>
              </w:rPr>
              <w:t xml:space="preserve"> ، </w:t>
            </w:r>
            <w:r w:rsidRPr="00000000">
              <w:rPr>
                <w:b/>
                <w:color w:val="0000FF"/>
                <w:rtl/>
              </w:rPr>
              <w:t>والقدرة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على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تثبيت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الدفن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مع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شهادة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مستخدم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 w:val="0"/>
              </w:rPr>
              <w:t>BD</w:t>
            </w:r>
            <w:r w:rsidRPr="00000000">
              <w:rPr>
                <w:b/>
                <w:color w:val="0000FF"/>
                <w:rtl/>
              </w:rPr>
              <w:t xml:space="preserve">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2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000000">
              <w:rPr>
                <w:b/>
                <w:sz w:val="20"/>
                <w:szCs w:val="20"/>
                <w:rtl/>
              </w:rPr>
              <w:t>سفتی</w:t>
            </w:r>
            <w:r w:rsidRPr="00000000">
              <w:rPr>
                <w:b/>
                <w:sz w:val="20"/>
                <w:szCs w:val="20"/>
                <w:rtl/>
              </w:rPr>
              <w:t xml:space="preserve"> </w:t>
            </w:r>
            <w:r w:rsidRPr="00000000">
              <w:rPr>
                <w:b/>
                <w:sz w:val="20"/>
                <w:szCs w:val="20"/>
                <w:rtl/>
              </w:rPr>
              <w:t>حلقوی</w:t>
            </w:r>
            <w:r w:rsidRPr="00000000">
              <w:rPr>
                <w:b/>
                <w:sz w:val="20"/>
                <w:szCs w:val="20"/>
                <w:rtl/>
              </w:rPr>
              <w:t xml:space="preserve"> </w:t>
            </w:r>
            <w:r w:rsidRPr="00000000">
              <w:rPr>
                <w:b/>
                <w:sz w:val="20"/>
                <w:szCs w:val="20"/>
                <w:rtl/>
              </w:rPr>
              <w:t>بالا</w:t>
            </w:r>
            <w:r w:rsidRPr="00000000">
              <w:rPr>
                <w:b/>
                <w:sz w:val="20"/>
                <w:szCs w:val="20"/>
                <w:rtl/>
              </w:rPr>
              <w:t xml:space="preserve">، </w:t>
            </w:r>
            <w:r w:rsidRPr="00000000">
              <w:rPr>
                <w:b/>
                <w:sz w:val="20"/>
                <w:szCs w:val="20"/>
                <w:rtl/>
              </w:rPr>
              <w:t>قابلیت</w:t>
            </w:r>
            <w:r w:rsidRPr="00000000">
              <w:rPr>
                <w:b/>
                <w:sz w:val="20"/>
                <w:szCs w:val="20"/>
                <w:rtl/>
              </w:rPr>
              <w:t xml:space="preserve"> </w:t>
            </w:r>
            <w:r w:rsidRPr="00000000">
              <w:rPr>
                <w:b/>
                <w:sz w:val="20"/>
                <w:szCs w:val="20"/>
                <w:rtl/>
              </w:rPr>
              <w:t>نصب</w:t>
            </w:r>
            <w:r w:rsidRPr="00000000">
              <w:rPr>
                <w:b/>
                <w:sz w:val="20"/>
                <w:szCs w:val="20"/>
                <w:rtl/>
              </w:rPr>
              <w:t xml:space="preserve"> </w:t>
            </w:r>
            <w:r w:rsidRPr="00000000">
              <w:rPr>
                <w:b/>
                <w:sz w:val="20"/>
                <w:szCs w:val="20"/>
                <w:rtl/>
              </w:rPr>
              <w:t>دفنی</w:t>
            </w:r>
            <w:r w:rsidRPr="00000000">
              <w:rPr>
                <w:b/>
                <w:sz w:val="20"/>
                <w:szCs w:val="20"/>
                <w:rtl/>
              </w:rPr>
              <w:t xml:space="preserve"> </w:t>
            </w:r>
            <w:r w:rsidRPr="00000000">
              <w:rPr>
                <w:b/>
                <w:sz w:val="20"/>
                <w:szCs w:val="20"/>
                <w:rtl/>
              </w:rPr>
              <w:t>دارای</w:t>
            </w:r>
            <w:r w:rsidRPr="00000000">
              <w:rPr>
                <w:b/>
                <w:sz w:val="20"/>
                <w:szCs w:val="20"/>
                <w:rtl/>
              </w:rPr>
              <w:t xml:space="preserve"> </w:t>
            </w:r>
            <w:r w:rsidRPr="00000000">
              <w:rPr>
                <w:b/>
                <w:sz w:val="20"/>
                <w:szCs w:val="20"/>
                <w:rtl/>
              </w:rPr>
              <w:t>گواهینامه</w:t>
            </w:r>
            <w:r w:rsidRPr="00000000">
              <w:rPr>
                <w:b/>
                <w:sz w:val="20"/>
                <w:szCs w:val="20"/>
                <w:rtl/>
              </w:rPr>
              <w:t xml:space="preserve"> </w:t>
            </w:r>
            <w:r w:rsidRPr="00000000">
              <w:rPr>
                <w:b/>
                <w:sz w:val="20"/>
                <w:szCs w:val="20"/>
                <w:rtl/>
              </w:rPr>
              <w:t>کاربری</w:t>
            </w:r>
            <w:r w:rsidRPr="00000000">
              <w:rPr>
                <w:b/>
                <w:sz w:val="20"/>
                <w:szCs w:val="20"/>
                <w:rtl/>
              </w:rPr>
              <w:t xml:space="preserve"> </w:t>
            </w:r>
            <w:r w:rsidRPr="00000000">
              <w:rPr>
                <w:b/>
                <w:sz w:val="20"/>
                <w:szCs w:val="20"/>
                <w:rtl w:val="0"/>
              </w:rPr>
              <w:t>BD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3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 w:val="0"/>
              </w:rPr>
              <w:t>3</w:t>
            </w:r>
          </w:p>
        </w:tc>
      </w:tr>
      <w:tr>
        <w:tblPrEx>
          <w:tblW w:w="9360" w:type="dxa"/>
          <w:jc w:val="right"/>
          <w:tblLayout w:type="fixed"/>
          <w:tblLook w:val="0600"/>
        </w:tblPrEx>
        <w:trPr>
          <w:cantSplit w:val="0"/>
          <w:tblHeader w:val="0"/>
          <w:jc w:val="righ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4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  <w:color w:val="0000FF"/>
              </w:rPr>
            </w:pPr>
            <w:r w:rsidRPr="00000000">
              <w:rPr>
                <w:b/>
                <w:color w:val="0000FF"/>
                <w:rtl/>
              </w:rPr>
              <w:t>مقاومة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للمواد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الكيميائية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المختلفة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مع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درجة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الحموضة</w:t>
            </w:r>
            <w:r w:rsidRPr="00000000">
              <w:rPr>
                <w:b/>
                <w:color w:val="0000FF"/>
                <w:rtl/>
              </w:rPr>
              <w:t xml:space="preserve"> 2 </w:t>
            </w:r>
            <w:r w:rsidRPr="00000000">
              <w:rPr>
                <w:b/>
                <w:color w:val="0000FF"/>
                <w:rtl/>
              </w:rPr>
              <w:t>إلى</w:t>
            </w:r>
            <w:r w:rsidRPr="00000000">
              <w:rPr>
                <w:b/>
                <w:color w:val="0000FF"/>
                <w:rtl/>
              </w:rPr>
              <w:t xml:space="preserve"> 12 </w:t>
            </w:r>
            <w:r w:rsidRPr="00000000">
              <w:rPr>
                <w:b/>
                <w:color w:val="0000FF"/>
                <w:rtl/>
              </w:rPr>
              <w:t>وفقا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لمعيار</w:t>
            </w:r>
            <w:r w:rsidRPr="00000000">
              <w:rPr>
                <w:b/>
                <w:color w:val="0000FF"/>
                <w:rtl w:val="0"/>
              </w:rPr>
              <w:t xml:space="preserve"> </w:t>
            </w:r>
            <w:r w:rsidRPr="00000000">
              <w:rPr>
                <w:b/>
                <w:color w:val="0000FF"/>
                <w:rtl w:val="0"/>
              </w:rPr>
              <w:t>ISO</w:t>
            </w:r>
            <w:r w:rsidRPr="00000000">
              <w:rPr>
                <w:b/>
                <w:color w:val="0000FF"/>
                <w:rtl w:val="0"/>
              </w:rPr>
              <w:t xml:space="preserve"> 10358</w:t>
            </w:r>
          </w:p>
          <w:p w:rsidR="00000000" w:rsidRPr="00000000" w:rsidP="00000000" w14:paraId="00000015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  <w:color w:val="0000FF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6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/>
              </w:rPr>
              <w:t>مقاوم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در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برابر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مواد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شیمیایی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مختلف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با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 w:val="0"/>
              </w:rPr>
              <w:t>PH</w:t>
            </w:r>
            <w:r w:rsidRPr="00000000">
              <w:rPr>
                <w:b/>
                <w:rtl/>
              </w:rPr>
              <w:t xml:space="preserve"> ۲ </w:t>
            </w:r>
            <w:r w:rsidRPr="00000000">
              <w:rPr>
                <w:b/>
                <w:rtl/>
              </w:rPr>
              <w:t>تا</w:t>
            </w:r>
            <w:r w:rsidRPr="00000000">
              <w:rPr>
                <w:b/>
                <w:rtl/>
              </w:rPr>
              <w:t xml:space="preserve"> ۱۲ </w:t>
            </w:r>
            <w:r w:rsidRPr="00000000">
              <w:rPr>
                <w:b/>
                <w:rtl/>
              </w:rPr>
              <w:t>در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انطباق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با</w:t>
            </w:r>
            <w:r w:rsidRPr="00000000">
              <w:rPr>
                <w:b/>
                <w:rtl/>
              </w:rPr>
              <w:t xml:space="preserve"> 10358 </w:t>
            </w:r>
            <w:r w:rsidRPr="00000000">
              <w:rPr>
                <w:b/>
                <w:rtl w:val="0"/>
              </w:rPr>
              <w:t>ISO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7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 w:val="0"/>
              </w:rPr>
              <w:t>4</w:t>
            </w:r>
          </w:p>
        </w:tc>
      </w:tr>
      <w:tr>
        <w:tblPrEx>
          <w:tblW w:w="9360" w:type="dxa"/>
          <w:jc w:val="right"/>
          <w:tblLayout w:type="fixed"/>
          <w:tblLook w:val="0600"/>
        </w:tblPrEx>
        <w:trPr>
          <w:cantSplit w:val="0"/>
          <w:tblHeader w:val="0"/>
          <w:jc w:val="righ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8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  <w:color w:val="0000FF"/>
              </w:rPr>
            </w:pPr>
            <w:r w:rsidRPr="00000000">
              <w:rPr>
                <w:b/>
                <w:color w:val="0000FF"/>
                <w:rtl/>
              </w:rPr>
              <w:t>بساطة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النقل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وتنفيذ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نظام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خفيف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الوزن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جدا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مقارنة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بالحديد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الزهر</w:t>
            </w:r>
          </w:p>
          <w:p w:rsidR="00000000" w:rsidRPr="00000000" w:rsidP="00000000" w14:paraId="00000019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  <w:color w:val="0000FF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A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/>
              </w:rPr>
              <w:t>سادگی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حمل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و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نقل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و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اجرای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سیستم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وزن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بسیار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سبک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نسبت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به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چدن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B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 w:val="0"/>
              </w:rPr>
              <w:t>5</w:t>
            </w:r>
          </w:p>
        </w:tc>
      </w:tr>
      <w:tr>
        <w:tblPrEx>
          <w:tblW w:w="9360" w:type="dxa"/>
          <w:jc w:val="right"/>
          <w:tblLayout w:type="fixed"/>
          <w:tblLook w:val="0600"/>
        </w:tblPrEx>
        <w:trPr>
          <w:cantSplit w:val="0"/>
          <w:tblHeader w:val="0"/>
          <w:jc w:val="righ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C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  <w:color w:val="0000FF"/>
              </w:rPr>
            </w:pPr>
            <w:r w:rsidRPr="00000000">
              <w:rPr>
                <w:b/>
                <w:color w:val="0000FF"/>
                <w:rtl/>
              </w:rPr>
              <w:t>مقاومة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ممتازة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لدرجات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الحرارة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العالية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تصل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إلى</w:t>
            </w:r>
            <w:r w:rsidRPr="00000000">
              <w:rPr>
                <w:b/>
                <w:color w:val="0000FF"/>
                <w:rtl/>
              </w:rPr>
              <w:t xml:space="preserve"> 95٪ </w:t>
            </w:r>
            <w:r w:rsidRPr="00000000">
              <w:rPr>
                <w:b/>
                <w:color w:val="0000FF"/>
                <w:rtl/>
              </w:rPr>
              <w:t>مئوية</w:t>
            </w:r>
          </w:p>
          <w:p w:rsidR="00000000" w:rsidRPr="00000000" w:rsidP="00000000" w14:paraId="0000001D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  <w:color w:val="0000FF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E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  <w:color w:val="980000"/>
              </w:rPr>
            </w:pPr>
            <w:r w:rsidRPr="00000000">
              <w:rPr>
                <w:b/>
                <w:color w:val="980000"/>
                <w:rtl/>
              </w:rPr>
              <w:t>مقاومت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فوق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العاده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در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برابر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دمای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بالا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تا</w:t>
            </w:r>
            <w:r w:rsidRPr="00000000">
              <w:rPr>
                <w:b/>
                <w:color w:val="980000"/>
                <w:rtl/>
              </w:rPr>
              <w:t xml:space="preserve"> 95٪</w:t>
            </w:r>
            <w:r w:rsidRPr="00000000">
              <w:rPr>
                <w:b/>
                <w:color w:val="980000"/>
                <w:rtl/>
              </w:rPr>
              <w:t>سانتیگراد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F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 w:val="0"/>
              </w:rPr>
              <w:t>6</w:t>
            </w:r>
          </w:p>
        </w:tc>
      </w:tr>
      <w:tr>
        <w:tblPrEx>
          <w:tblW w:w="9360" w:type="dxa"/>
          <w:jc w:val="right"/>
          <w:tblLayout w:type="fixed"/>
          <w:tblLook w:val="0600"/>
        </w:tblPrEx>
        <w:trPr>
          <w:cantSplit w:val="0"/>
          <w:tblHeader w:val="0"/>
          <w:jc w:val="righ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0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  <w:color w:val="0000FF"/>
              </w:rPr>
            </w:pPr>
            <w:r w:rsidRPr="00000000">
              <w:rPr>
                <w:b/>
                <w:color w:val="0000FF"/>
                <w:rtl/>
              </w:rPr>
              <w:t>طريقة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بسيطة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للاتصال</w:t>
            </w:r>
            <w:r w:rsidRPr="00000000">
              <w:rPr>
                <w:b/>
                <w:color w:val="0000FF"/>
                <w:rtl/>
              </w:rPr>
              <w:t xml:space="preserve"> ، </w:t>
            </w:r>
            <w:r w:rsidRPr="00000000">
              <w:rPr>
                <w:b/>
                <w:color w:val="0000FF"/>
                <w:rtl/>
              </w:rPr>
              <w:t>والتثبيت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بشكل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أسرع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دون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الحاجة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إلى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الغراء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أو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اللحام</w:t>
            </w:r>
          </w:p>
          <w:p w:rsidR="00000000" w:rsidRPr="00000000" w:rsidP="00000000" w14:paraId="00000021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  <w:color w:val="0000FF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2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  <w:color w:val="980000"/>
              </w:rPr>
            </w:pPr>
            <w:r w:rsidRPr="00000000">
              <w:rPr>
                <w:b/>
                <w:color w:val="980000"/>
                <w:rtl/>
              </w:rPr>
              <w:t>روش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ساده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ایجاد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اتصال</w:t>
            </w:r>
            <w:r w:rsidRPr="00000000">
              <w:rPr>
                <w:b/>
                <w:color w:val="980000"/>
                <w:rtl/>
              </w:rPr>
              <w:t xml:space="preserve">، </w:t>
            </w:r>
            <w:r w:rsidRPr="00000000">
              <w:rPr>
                <w:b/>
                <w:color w:val="980000"/>
                <w:rtl/>
              </w:rPr>
              <w:t>نصب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سریع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تر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بدون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نیاز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به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چسب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یا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جوش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3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 w:val="0"/>
              </w:rPr>
              <w:t>7</w:t>
            </w:r>
          </w:p>
        </w:tc>
      </w:tr>
      <w:tr>
        <w:tblPrEx>
          <w:tblW w:w="9360" w:type="dxa"/>
          <w:jc w:val="right"/>
          <w:tblLayout w:type="fixed"/>
          <w:tblLook w:val="0600"/>
        </w:tblPrEx>
        <w:trPr>
          <w:cantSplit w:val="0"/>
          <w:tblHeader w:val="0"/>
          <w:jc w:val="righ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4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  <w:color w:val="0000FF"/>
              </w:rPr>
            </w:pPr>
            <w:r w:rsidRPr="00000000">
              <w:rPr>
                <w:b/>
                <w:color w:val="0000FF"/>
                <w:rtl/>
              </w:rPr>
              <w:t>ردة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فعل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على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الحريق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البطيء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مع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التصنيف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 w:val="0"/>
              </w:rPr>
              <w:t>E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وما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فوقه</w:t>
            </w:r>
            <w:r w:rsidRPr="00000000">
              <w:rPr>
                <w:b/>
                <w:color w:val="0000FF"/>
                <w:rtl/>
              </w:rPr>
              <w:t xml:space="preserve"> ، </w:t>
            </w:r>
            <w:r w:rsidRPr="00000000">
              <w:rPr>
                <w:b/>
                <w:color w:val="0000FF"/>
                <w:rtl/>
              </w:rPr>
              <w:t>معتمد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من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قبل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مركز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بحوث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الطرق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والإسكان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والتنمية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الحضرية</w:t>
            </w:r>
          </w:p>
          <w:p w:rsidR="00000000" w:rsidRPr="00000000" w:rsidP="00000000" w14:paraId="00000025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  <w:color w:val="0000FF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6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  <w:color w:val="980000"/>
              </w:rPr>
            </w:pPr>
            <w:r w:rsidRPr="00000000">
              <w:rPr>
                <w:b/>
                <w:color w:val="980000"/>
                <w:rtl/>
              </w:rPr>
              <w:t>واکنش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در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برابر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آتش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کندسوز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با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طبقه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بندی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 w:val="0"/>
              </w:rPr>
              <w:t>E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و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بالاتر</w:t>
            </w:r>
            <w:r w:rsidRPr="00000000">
              <w:rPr>
                <w:b/>
                <w:color w:val="980000"/>
                <w:rtl/>
              </w:rPr>
              <w:t xml:space="preserve">، </w:t>
            </w:r>
            <w:r w:rsidRPr="00000000">
              <w:rPr>
                <w:b/>
                <w:color w:val="980000"/>
                <w:rtl/>
              </w:rPr>
              <w:t>به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گواهی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مرکز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تحقیقات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راه</w:t>
            </w:r>
            <w:r w:rsidRPr="00000000">
              <w:rPr>
                <w:b/>
                <w:color w:val="980000"/>
                <w:rtl/>
              </w:rPr>
              <w:t xml:space="preserve">، </w:t>
            </w:r>
            <w:r w:rsidRPr="00000000">
              <w:rPr>
                <w:b/>
                <w:color w:val="980000"/>
                <w:rtl/>
              </w:rPr>
              <w:t>مسکن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و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شهرسازی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7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 w:val="0"/>
              </w:rPr>
              <w:t>8</w:t>
            </w:r>
          </w:p>
        </w:tc>
      </w:tr>
      <w:tr>
        <w:tblPrEx>
          <w:tblW w:w="9360" w:type="dxa"/>
          <w:jc w:val="right"/>
          <w:tblLayout w:type="fixed"/>
          <w:tblLook w:val="0600"/>
        </w:tblPrEx>
        <w:trPr>
          <w:cantSplit w:val="0"/>
          <w:tblHeader w:val="0"/>
          <w:jc w:val="righ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8">
            <w:pPr>
              <w:pStyle w:val="normal0"/>
              <w:bidi/>
              <w:spacing w:line="360" w:lineRule="auto"/>
              <w:rPr>
                <w:b/>
                <w:color w:val="0000FF"/>
              </w:rPr>
            </w:pPr>
            <w:r w:rsidRPr="00000000">
              <w:rPr>
                <w:b/>
                <w:color w:val="0000FF"/>
                <w:rtl/>
              </w:rPr>
              <w:t>اتصال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بسيط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بمساعدة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حلقة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إحكام</w:t>
            </w:r>
            <w:r w:rsidRPr="00000000">
              <w:rPr>
                <w:b/>
                <w:color w:val="0000FF"/>
                <w:rtl/>
              </w:rPr>
              <w:t xml:space="preserve">  </w:t>
            </w:r>
            <w:r w:rsidRPr="00000000">
              <w:rPr>
                <w:b/>
                <w:color w:val="0000FF"/>
                <w:rtl/>
              </w:rPr>
              <w:t>ختم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المياه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مرن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النظام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9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  <w:color w:val="980000"/>
              </w:rPr>
            </w:pPr>
            <w:r w:rsidRPr="00000000">
              <w:rPr>
                <w:b/>
                <w:color w:val="980000"/>
                <w:rtl/>
              </w:rPr>
              <w:t>اتصال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ساده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با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کمک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حلقه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آب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بندی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سیستم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انعطاف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پذیر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A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 w:val="0"/>
              </w:rPr>
              <w:t>9</w:t>
            </w:r>
          </w:p>
        </w:tc>
      </w:tr>
      <w:tr>
        <w:tblPrEx>
          <w:tblW w:w="9360" w:type="dxa"/>
          <w:jc w:val="right"/>
          <w:tblLayout w:type="fixed"/>
          <w:tblLook w:val="0600"/>
        </w:tblPrEx>
        <w:trPr>
          <w:cantSplit w:val="0"/>
          <w:tblHeader w:val="0"/>
          <w:jc w:val="righ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B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rPr>
                <w:b/>
                <w:color w:val="0000FF"/>
              </w:rPr>
            </w:pPr>
            <w:r w:rsidRPr="00000000">
              <w:rPr>
                <w:b/>
                <w:color w:val="0000FF"/>
                <w:rtl/>
              </w:rPr>
              <w:t>مجموعة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واسعة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من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انتاج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الأنابيب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والتجهيزات</w:t>
            </w:r>
            <w:r w:rsidRPr="00000000">
              <w:rPr>
                <w:b/>
                <w:color w:val="0000FF"/>
                <w:rtl/>
              </w:rPr>
              <w:t xml:space="preserve"> </w:t>
            </w:r>
            <w:r w:rsidRPr="00000000">
              <w:rPr>
                <w:b/>
                <w:color w:val="0000FF"/>
                <w:rtl/>
              </w:rPr>
              <w:t>من</w:t>
            </w:r>
            <w:r w:rsidRPr="00000000">
              <w:rPr>
                <w:b/>
                <w:color w:val="0000FF"/>
                <w:rtl/>
              </w:rPr>
              <w:t xml:space="preserve"> 50 </w:t>
            </w:r>
            <w:r w:rsidRPr="00000000">
              <w:rPr>
                <w:b/>
                <w:color w:val="0000FF"/>
                <w:rtl/>
              </w:rPr>
              <w:t>إلى</w:t>
            </w:r>
            <w:r w:rsidRPr="00000000">
              <w:rPr>
                <w:b/>
                <w:color w:val="0000FF"/>
                <w:rtl/>
              </w:rPr>
              <w:t xml:space="preserve"> 160</w:t>
            </w:r>
            <w:r w:rsidRPr="00000000">
              <w:rPr>
                <w:b/>
                <w:color w:val="0000FF"/>
                <w:rtl/>
              </w:rPr>
              <w:t>مم</w:t>
            </w:r>
            <w:r w:rsidRPr="00000000">
              <w:rPr>
                <w:b/>
                <w:color w:val="0000FF"/>
                <w:rtl/>
              </w:rPr>
              <w:t xml:space="preserve">.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C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center"/>
              <w:rPr>
                <w:b/>
                <w:color w:val="980000"/>
              </w:rPr>
            </w:pPr>
            <w:r w:rsidRPr="00000000">
              <w:rPr>
                <w:b/>
                <w:color w:val="980000"/>
                <w:rtl/>
              </w:rPr>
              <w:t>دامنه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وسیع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تولید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لوله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و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اتصالات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از</w:t>
            </w:r>
            <w:r w:rsidRPr="00000000">
              <w:rPr>
                <w:b/>
                <w:color w:val="980000"/>
                <w:rtl/>
              </w:rPr>
              <w:t xml:space="preserve"> ۵۰ </w:t>
            </w:r>
            <w:r w:rsidRPr="00000000">
              <w:rPr>
                <w:b/>
                <w:color w:val="980000"/>
                <w:rtl/>
              </w:rPr>
              <w:t>تا</w:t>
            </w:r>
            <w:r w:rsidRPr="00000000">
              <w:rPr>
                <w:b/>
                <w:color w:val="980000"/>
                <w:rtl/>
              </w:rPr>
              <w:t xml:space="preserve"> ۱۶۰ </w:t>
            </w:r>
            <w:r w:rsidRPr="00000000">
              <w:rPr>
                <w:b/>
                <w:color w:val="980000"/>
                <w:rtl/>
              </w:rPr>
              <w:t>میلی</w:t>
            </w:r>
            <w:r w:rsidRPr="00000000">
              <w:rPr>
                <w:b/>
                <w:color w:val="980000"/>
                <w:rtl/>
              </w:rPr>
              <w:t xml:space="preserve"> </w:t>
            </w:r>
            <w:r w:rsidRPr="00000000">
              <w:rPr>
                <w:b/>
                <w:color w:val="980000"/>
                <w:rtl/>
              </w:rPr>
              <w:t>متر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D">
            <w:pPr>
              <w:pStyle w:val="normal0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 w:rsidRPr="00000000">
              <w:rPr>
                <w:b/>
                <w:rtl w:val="0"/>
              </w:rPr>
              <w:t>10</w:t>
            </w:r>
          </w:p>
        </w:tc>
      </w:tr>
    </w:tbl>
    <w:p w:rsidR="00000000" w:rsidRPr="00000000" w:rsidP="00000000" w14:paraId="0000002E">
      <w:pPr>
        <w:pStyle w:val="normal0"/>
        <w:spacing w:line="360" w:lineRule="auto"/>
        <w:jc w:val="right"/>
      </w:pPr>
    </w:p>
    <w:p w:rsidR="00000000" w:rsidRPr="00000000" w:rsidP="00000000" w14:paraId="0000002F">
      <w:pPr>
        <w:pStyle w:val="normal0"/>
        <w:spacing w:line="360" w:lineRule="auto"/>
        <w:jc w:val="left"/>
      </w:pPr>
    </w:p>
    <w:p w:rsidR="00000000" w:rsidRPr="00000000" w:rsidP="00000000" w14:paraId="00000030">
      <w:pPr>
        <w:pStyle w:val="normal0"/>
        <w:spacing w:line="360" w:lineRule="auto"/>
        <w:jc w:val="right"/>
      </w:pPr>
    </w:p>
    <w:p w:rsidR="00000000" w:rsidRPr="00000000" w:rsidP="00000000" w14:paraId="00000031">
      <w:pPr>
        <w:pStyle w:val="normal0"/>
        <w:bidi/>
        <w:spacing w:line="360" w:lineRule="auto"/>
        <w:jc w:val="left"/>
        <w:rPr>
          <w:color w:val="0000FF"/>
        </w:rPr>
      </w:pPr>
      <w:r w:rsidRPr="00000000">
        <w:rPr>
          <w:color w:val="0000FF"/>
          <w:rtl/>
        </w:rPr>
        <w:t>پوش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فیت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سایلنت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پلیران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یک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سیستم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فاضلابی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ویژه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از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جنس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پلی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پروپیلن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برای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کاهش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میزان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انتقال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صدای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شبكه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فاضلاب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است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که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راستای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پاسخگویی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نیازهای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استاندارد</w:t>
      </w:r>
      <w:r w:rsidRPr="00000000">
        <w:rPr>
          <w:color w:val="0000FF"/>
          <w:rtl/>
        </w:rPr>
        <w:t xml:space="preserve"> 12056 </w:t>
      </w:r>
      <w:r w:rsidRPr="00000000">
        <w:rPr>
          <w:color w:val="0000FF"/>
          <w:rtl w:val="0"/>
        </w:rPr>
        <w:t>EN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برای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سیستم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های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فاضلاب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ثقلی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درون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ساختمان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طراحی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تولید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گردیده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است</w:t>
      </w:r>
      <w:r w:rsidRPr="00000000">
        <w:rPr>
          <w:color w:val="0000FF"/>
          <w:rtl/>
        </w:rPr>
        <w:t xml:space="preserve">. </w:t>
      </w:r>
      <w:r w:rsidRPr="00000000">
        <w:rPr>
          <w:color w:val="0000FF"/>
          <w:rtl/>
        </w:rPr>
        <w:t>عملكرد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صوتی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نظیر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این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سیستم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از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الزامات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استانداردهای</w:t>
      </w:r>
      <w:r w:rsidRPr="00000000">
        <w:rPr>
          <w:color w:val="0000FF"/>
          <w:rtl/>
        </w:rPr>
        <w:t xml:space="preserve"> 4109 </w:t>
      </w:r>
      <w:r w:rsidRPr="00000000">
        <w:rPr>
          <w:color w:val="0000FF"/>
          <w:rtl w:val="0"/>
        </w:rPr>
        <w:t>DIN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4100 </w:t>
      </w:r>
      <w:r w:rsidRPr="00000000">
        <w:rPr>
          <w:color w:val="0000FF"/>
          <w:rtl w:val="0"/>
        </w:rPr>
        <w:t>VDI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نیز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فراتر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رود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آن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را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تبدیل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بهترین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انتخاب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برای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بیمارستانها</w:t>
      </w:r>
      <w:r w:rsidRPr="00000000">
        <w:rPr>
          <w:color w:val="0000FF"/>
          <w:rtl/>
        </w:rPr>
        <w:t xml:space="preserve">، </w:t>
      </w:r>
      <w:r w:rsidRPr="00000000">
        <w:rPr>
          <w:color w:val="0000FF"/>
          <w:rtl/>
        </w:rPr>
        <w:t>هتل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ها</w:t>
      </w:r>
      <w:r w:rsidRPr="00000000">
        <w:rPr>
          <w:color w:val="0000FF"/>
          <w:rtl/>
        </w:rPr>
        <w:t xml:space="preserve">، </w:t>
      </w:r>
      <w:r w:rsidRPr="00000000">
        <w:rPr>
          <w:color w:val="0000FF"/>
          <w:rtl/>
        </w:rPr>
        <w:t>محیط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های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آموزشی</w:t>
      </w:r>
      <w:r w:rsidRPr="00000000">
        <w:rPr>
          <w:color w:val="0000FF"/>
          <w:rtl/>
        </w:rPr>
        <w:t xml:space="preserve">، </w:t>
      </w:r>
      <w:r w:rsidRPr="00000000">
        <w:rPr>
          <w:color w:val="0000FF"/>
          <w:rtl/>
        </w:rPr>
        <w:t>استودیوهای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ضبط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صدا</w:t>
      </w:r>
      <w:r w:rsidRPr="00000000">
        <w:rPr>
          <w:color w:val="0000FF"/>
          <w:rtl/>
        </w:rPr>
        <w:t xml:space="preserve">، </w:t>
      </w:r>
      <w:r w:rsidRPr="00000000">
        <w:rPr>
          <w:color w:val="0000FF"/>
          <w:rtl/>
        </w:rPr>
        <w:t>برج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های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بلند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مرتبه</w:t>
      </w:r>
      <w:r w:rsidRPr="00000000">
        <w:rPr>
          <w:color w:val="0000FF"/>
          <w:rtl/>
        </w:rPr>
        <w:t xml:space="preserve">، </w:t>
      </w:r>
      <w:r w:rsidRPr="00000000">
        <w:rPr>
          <w:color w:val="0000FF"/>
          <w:rtl/>
        </w:rPr>
        <w:t>منازل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مسكونی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دیگر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کاربری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هایی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کند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که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آرامش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محیط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اهمیت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ویژه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دهند</w:t>
      </w:r>
      <w:r w:rsidRPr="00000000">
        <w:rPr>
          <w:color w:val="0000FF"/>
          <w:rtl/>
        </w:rPr>
        <w:t xml:space="preserve">. </w:t>
      </w:r>
      <w:r w:rsidRPr="00000000">
        <w:rPr>
          <w:color w:val="0000FF"/>
          <w:rtl/>
        </w:rPr>
        <w:t>ایجاد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اتصال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این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سیستم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سادگی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کمک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حلقه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های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آب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بندی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لاستیکی</w:t>
      </w:r>
      <w:r w:rsidRPr="00000000">
        <w:rPr>
          <w:color w:val="0000FF"/>
          <w:rtl/>
        </w:rPr>
        <w:t xml:space="preserve">، </w:t>
      </w:r>
      <w:r w:rsidRPr="00000000">
        <w:rPr>
          <w:color w:val="0000FF"/>
          <w:rtl/>
        </w:rPr>
        <w:t>تنها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با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فشار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دادن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لوله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یا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اتصال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درون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سوکت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صورت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پذیرد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هیچگونه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نیازی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چسب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یا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جوش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ندارد</w:t>
      </w:r>
      <w:r w:rsidRPr="00000000">
        <w:rPr>
          <w:color w:val="0000FF"/>
          <w:rtl/>
        </w:rPr>
        <w:t xml:space="preserve">. </w:t>
      </w:r>
      <w:r w:rsidRPr="00000000">
        <w:rPr>
          <w:color w:val="0000FF"/>
          <w:rtl/>
        </w:rPr>
        <w:t>حلقه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های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آب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بندی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این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سیستم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محصول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شرکت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های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معتبر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اروپایی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است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تضمین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کننده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آب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بندی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مطمئن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پایدار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آن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باشد</w:t>
      </w:r>
      <w:r w:rsidRPr="00000000">
        <w:rPr>
          <w:color w:val="0000FF"/>
          <w:rtl/>
        </w:rPr>
        <w:t xml:space="preserve">. </w:t>
      </w:r>
      <w:r w:rsidRPr="00000000">
        <w:rPr>
          <w:color w:val="0000FF"/>
          <w:rtl/>
        </w:rPr>
        <w:t>استفاده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از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این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روش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اتصال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علاوه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افزایش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سرعت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نصب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اجرا</w:t>
      </w:r>
      <w:r w:rsidRPr="00000000">
        <w:rPr>
          <w:color w:val="0000FF"/>
          <w:rtl/>
        </w:rPr>
        <w:t xml:space="preserve">، </w:t>
      </w:r>
      <w:r w:rsidRPr="00000000">
        <w:rPr>
          <w:color w:val="0000FF"/>
          <w:rtl/>
        </w:rPr>
        <w:t>باعث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افزایش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انعطاف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پذیری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سیستم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حفظ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آب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بندی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آن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حتی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لرزه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های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غیر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مخرب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گردد</w:t>
      </w:r>
      <w:r w:rsidRPr="00000000">
        <w:rPr>
          <w:color w:val="0000FF"/>
          <w:rtl/>
        </w:rPr>
        <w:t xml:space="preserve">. </w:t>
      </w:r>
      <w:r w:rsidRPr="00000000">
        <w:rPr>
          <w:color w:val="0000FF"/>
          <w:rtl/>
        </w:rPr>
        <w:t>سیستم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سایلنت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پلی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ران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وسیله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جدیدترین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فناوری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کواکستروژن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ساختاری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سه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لایه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با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قابلیت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جذب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صدای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فوق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العاده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مقاومت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فيزيكي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منحصر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فرد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تولید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شود</w:t>
      </w:r>
      <w:r w:rsidRPr="00000000">
        <w:rPr>
          <w:color w:val="0000FF"/>
          <w:rtl/>
        </w:rPr>
        <w:t xml:space="preserve"> :</w:t>
      </w:r>
    </w:p>
    <w:p w:rsidR="00000000" w:rsidRPr="00000000" w:rsidP="00000000" w14:paraId="00000032">
      <w:pPr>
        <w:pStyle w:val="normal0"/>
        <w:bidi/>
        <w:spacing w:line="360" w:lineRule="auto"/>
        <w:jc w:val="left"/>
        <w:rPr>
          <w:color w:val="0000FF"/>
        </w:rPr>
      </w:pPr>
    </w:p>
    <w:p w:rsidR="00000000" w:rsidRPr="00000000" w:rsidP="00000000" w14:paraId="00000033">
      <w:pPr>
        <w:pStyle w:val="normal0"/>
        <w:bidi/>
        <w:spacing w:line="360" w:lineRule="auto"/>
        <w:ind w:left="0" w:firstLine="0"/>
        <w:jc w:val="both"/>
        <w:rPr>
          <w:color w:val="0000FF"/>
        </w:rPr>
      </w:pPr>
      <w:r w:rsidRPr="00000000">
        <w:rPr>
          <w:color w:val="0000FF"/>
          <w:rtl/>
        </w:rPr>
        <w:t>١.</w:t>
      </w:r>
      <w:r w:rsidRPr="00000000">
        <w:rPr>
          <w:color w:val="0000FF"/>
          <w:rtl/>
        </w:rPr>
        <w:t>لایه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بیرونی</w:t>
      </w:r>
    </w:p>
    <w:p w:rsidR="00000000" w:rsidRPr="00000000" w:rsidP="00000000" w14:paraId="00000034">
      <w:pPr>
        <w:pStyle w:val="normal0"/>
        <w:bidi/>
        <w:spacing w:line="360" w:lineRule="auto"/>
        <w:jc w:val="left"/>
        <w:rPr>
          <w:color w:val="0000FF"/>
        </w:rPr>
      </w:pPr>
      <w:r w:rsidRPr="00000000">
        <w:rPr>
          <w:color w:val="0000FF"/>
          <w:rtl/>
        </w:rPr>
        <w:t>از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جنس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پلی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پروپیلن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با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خصوصیات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مكانيكي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فـوق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العـاده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مقاومت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بالا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برابر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تنش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های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خارجی</w:t>
      </w:r>
    </w:p>
    <w:p w:rsidR="00000000" w:rsidRPr="00000000" w:rsidP="00000000" w14:paraId="00000035">
      <w:pPr>
        <w:pStyle w:val="normal0"/>
        <w:bidi/>
        <w:spacing w:line="360" w:lineRule="auto"/>
        <w:jc w:val="left"/>
        <w:rPr>
          <w:color w:val="0000FF"/>
        </w:rPr>
      </w:pPr>
    </w:p>
    <w:p w:rsidR="00000000" w:rsidRPr="00000000" w:rsidP="00000000" w14:paraId="00000036">
      <w:pPr>
        <w:pStyle w:val="normal0"/>
        <w:bidi/>
        <w:spacing w:line="360" w:lineRule="auto"/>
        <w:jc w:val="left"/>
        <w:rPr>
          <w:color w:val="0000FF"/>
        </w:rPr>
      </w:pPr>
      <w:r w:rsidRPr="00000000">
        <w:rPr>
          <w:color w:val="0000FF"/>
          <w:rtl/>
        </w:rPr>
        <w:t xml:space="preserve">۲. </w:t>
      </w:r>
      <w:r w:rsidRPr="00000000">
        <w:rPr>
          <w:color w:val="0000FF"/>
          <w:rtl/>
        </w:rPr>
        <w:t>لایه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میانی</w:t>
      </w:r>
    </w:p>
    <w:p w:rsidR="00000000" w:rsidRPr="00000000" w:rsidP="00000000" w14:paraId="00000037">
      <w:pPr>
        <w:pStyle w:val="normal0"/>
        <w:bidi/>
        <w:spacing w:line="360" w:lineRule="auto"/>
        <w:jc w:val="left"/>
        <w:rPr>
          <w:color w:val="0000FF"/>
        </w:rPr>
      </w:pPr>
    </w:p>
    <w:p w:rsidR="00000000" w:rsidRPr="00000000" w:rsidP="00000000" w14:paraId="00000038">
      <w:pPr>
        <w:pStyle w:val="normal0"/>
        <w:bidi/>
        <w:spacing w:line="360" w:lineRule="auto"/>
        <w:jc w:val="left"/>
        <w:rPr>
          <w:color w:val="0000FF"/>
        </w:rPr>
      </w:pPr>
      <w:r w:rsidRPr="00000000">
        <w:rPr>
          <w:color w:val="0000FF"/>
          <w:rtl/>
        </w:rPr>
        <w:t>ساخته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شده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از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کامپاند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اختصاصی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پلی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ران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 w:val="0"/>
        </w:rPr>
        <w:t>Poliran</w:t>
      </w:r>
      <w:r w:rsidRPr="00000000">
        <w:rPr>
          <w:color w:val="0000FF"/>
          <w:rtl w:val="0"/>
        </w:rPr>
        <w:t>-</w:t>
      </w:r>
      <w:r w:rsidRPr="00000000">
        <w:rPr>
          <w:color w:val="0000FF"/>
          <w:rtl w:val="0"/>
        </w:rPr>
        <w:t>KB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استحكام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بالا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کاهش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نظیر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انتقال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صدا</w:t>
      </w:r>
    </w:p>
    <w:p w:rsidR="00000000" w:rsidRPr="00000000" w:rsidP="00000000" w14:paraId="00000039">
      <w:pPr>
        <w:pStyle w:val="normal0"/>
        <w:bidi/>
        <w:spacing w:line="360" w:lineRule="auto"/>
        <w:jc w:val="left"/>
        <w:rPr>
          <w:color w:val="0000FF"/>
        </w:rPr>
      </w:pPr>
    </w:p>
    <w:p w:rsidR="00000000" w:rsidRPr="00000000" w:rsidP="00000000" w14:paraId="0000003A">
      <w:pPr>
        <w:pStyle w:val="normal0"/>
        <w:bidi/>
        <w:spacing w:line="360" w:lineRule="auto"/>
        <w:jc w:val="left"/>
        <w:rPr>
          <w:color w:val="0000FF"/>
        </w:rPr>
      </w:pPr>
      <w:r w:rsidRPr="00000000">
        <w:rPr>
          <w:color w:val="0000FF"/>
          <w:rtl/>
        </w:rPr>
        <w:t xml:space="preserve">۳. </w:t>
      </w:r>
      <w:r w:rsidRPr="00000000">
        <w:rPr>
          <w:color w:val="0000FF"/>
          <w:rtl/>
        </w:rPr>
        <w:t>لایه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داخلی</w:t>
      </w:r>
    </w:p>
    <w:p w:rsidR="00000000" w:rsidRPr="00000000" w:rsidP="00000000" w14:paraId="0000003B">
      <w:pPr>
        <w:pStyle w:val="normal0"/>
        <w:bidi/>
        <w:spacing w:line="360" w:lineRule="auto"/>
        <w:jc w:val="left"/>
        <w:rPr>
          <w:color w:val="0000FF"/>
        </w:rPr>
      </w:pPr>
    </w:p>
    <w:p w:rsidR="00000000" w:rsidRPr="00000000" w:rsidP="00000000" w14:paraId="0000003C">
      <w:pPr>
        <w:pStyle w:val="normal0"/>
        <w:bidi/>
        <w:spacing w:line="360" w:lineRule="auto"/>
        <w:jc w:val="left"/>
        <w:rPr>
          <w:color w:val="0000FF"/>
        </w:rPr>
      </w:pPr>
      <w:r w:rsidRPr="00000000">
        <w:rPr>
          <w:color w:val="0000FF"/>
          <w:rtl/>
        </w:rPr>
        <w:t>لایه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صاف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صیقلی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با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حداقل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امکان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گرفتگی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از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جنس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پلی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پروپیلن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مقاوم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برابر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دماهای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بالا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و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مواد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شیمیایی</w:t>
      </w:r>
      <w:r w:rsidRPr="00000000">
        <w:rPr>
          <w:color w:val="0000FF"/>
          <w:rtl/>
        </w:rPr>
        <w:t xml:space="preserve"> </w:t>
      </w:r>
      <w:r w:rsidRPr="00000000">
        <w:rPr>
          <w:color w:val="0000FF"/>
          <w:rtl/>
        </w:rPr>
        <w:t>مختلف</w:t>
      </w:r>
    </w:p>
    <w:p w:rsidR="00000000" w:rsidRPr="00000000" w:rsidP="00000000" w14:paraId="0000003D">
      <w:pPr>
        <w:pStyle w:val="normal0"/>
        <w:bidi/>
        <w:spacing w:line="360" w:lineRule="auto"/>
        <w:jc w:val="left"/>
        <w:rPr>
          <w:color w:val="0000FF"/>
        </w:rPr>
      </w:pPr>
    </w:p>
    <w:p w:rsidR="00000000" w:rsidRPr="00000000" w:rsidP="00000000" w14:paraId="0000003E">
      <w:pPr>
        <w:pStyle w:val="normal0"/>
        <w:bidi/>
        <w:spacing w:line="360" w:lineRule="auto"/>
        <w:jc w:val="both"/>
        <w:rPr>
          <w:sz w:val="24"/>
          <w:szCs w:val="24"/>
        </w:rPr>
      </w:pPr>
    </w:p>
    <w:p w:rsidR="00000000" w:rsidRPr="00000000" w:rsidP="00000000" w14:paraId="0000003F">
      <w:pPr>
        <w:pStyle w:val="normal0"/>
        <w:bidi/>
        <w:spacing w:line="360" w:lineRule="auto"/>
        <w:jc w:val="both"/>
        <w:rPr>
          <w:sz w:val="24"/>
          <w:szCs w:val="24"/>
        </w:rPr>
      </w:pPr>
      <w:r w:rsidRPr="00000000">
        <w:rPr>
          <w:color w:val="FF0000"/>
          <w:sz w:val="24"/>
          <w:szCs w:val="24"/>
          <w:rtl/>
        </w:rPr>
        <w:t>بوش</w:t>
      </w:r>
      <w:r w:rsidRPr="00000000">
        <w:rPr>
          <w:color w:val="FF0000"/>
          <w:sz w:val="24"/>
          <w:szCs w:val="24"/>
          <w:rtl/>
        </w:rPr>
        <w:t xml:space="preserve"> </w:t>
      </w:r>
      <w:r w:rsidRPr="00000000">
        <w:rPr>
          <w:color w:val="FF0000"/>
          <w:sz w:val="24"/>
          <w:szCs w:val="24"/>
          <w:rtl/>
        </w:rPr>
        <w:t>فيت</w:t>
      </w:r>
      <w:r w:rsidRPr="00000000">
        <w:rPr>
          <w:color w:val="FF0000"/>
          <w:sz w:val="24"/>
          <w:szCs w:val="24"/>
          <w:rtl/>
        </w:rPr>
        <w:t xml:space="preserve"> </w:t>
      </w:r>
      <w:r w:rsidRPr="00000000">
        <w:rPr>
          <w:color w:val="FF0000"/>
          <w:sz w:val="24"/>
          <w:szCs w:val="24"/>
          <w:rtl/>
        </w:rPr>
        <w:t>سايلنت</w:t>
      </w:r>
      <w:r w:rsidRPr="00000000">
        <w:rPr>
          <w:color w:val="FF0000"/>
          <w:sz w:val="24"/>
          <w:szCs w:val="24"/>
          <w:rtl/>
        </w:rPr>
        <w:t xml:space="preserve"> </w:t>
      </w:r>
      <w:r w:rsidRPr="00000000">
        <w:rPr>
          <w:color w:val="FF0000"/>
          <w:sz w:val="24"/>
          <w:szCs w:val="24"/>
          <w:rtl w:val="0"/>
        </w:rPr>
        <w:t>push</w:t>
      </w:r>
      <w:r w:rsidRPr="00000000">
        <w:rPr>
          <w:color w:val="FF0000"/>
          <w:sz w:val="24"/>
          <w:szCs w:val="24"/>
          <w:rtl w:val="0"/>
        </w:rPr>
        <w:t xml:space="preserve"> </w:t>
      </w:r>
      <w:r w:rsidRPr="00000000">
        <w:rPr>
          <w:color w:val="FF0000"/>
          <w:sz w:val="24"/>
          <w:szCs w:val="24"/>
          <w:rtl w:val="0"/>
        </w:rPr>
        <w:t>fit</w:t>
      </w:r>
      <w:r w:rsidRPr="00000000">
        <w:rPr>
          <w:color w:val="FF0000"/>
          <w:sz w:val="24"/>
          <w:szCs w:val="24"/>
          <w:rtl w:val="0"/>
        </w:rPr>
        <w:t xml:space="preserve"> </w:t>
      </w:r>
      <w:r w:rsidRPr="00000000">
        <w:rPr>
          <w:color w:val="FF0000"/>
          <w:sz w:val="24"/>
          <w:szCs w:val="24"/>
          <w:rtl w:val="0"/>
        </w:rPr>
        <w:t>silent</w:t>
      </w:r>
      <w:r w:rsidRPr="00000000">
        <w:rPr>
          <w:color w:val="FF0000"/>
          <w:sz w:val="24"/>
          <w:szCs w:val="24"/>
          <w:rtl/>
        </w:rPr>
        <w:t xml:space="preserve">, </w:t>
      </w:r>
      <w:r w:rsidRPr="00000000">
        <w:rPr>
          <w:sz w:val="24"/>
          <w:szCs w:val="24"/>
          <w:rtl/>
        </w:rPr>
        <w:t>نظام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دفع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صالح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لشركة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بوليران</w:t>
      </w:r>
      <w:r w:rsidRPr="00000000">
        <w:rPr>
          <w:sz w:val="24"/>
          <w:szCs w:val="24"/>
          <w:rtl/>
        </w:rPr>
        <w:t xml:space="preserve"> ، </w:t>
      </w:r>
      <w:r w:rsidRPr="00000000">
        <w:rPr>
          <w:sz w:val="24"/>
          <w:szCs w:val="24"/>
          <w:rtl/>
        </w:rPr>
        <w:t>هو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نظام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صرف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صحي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خاص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مصنوع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البولي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بروبيلين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لتقليل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انتقال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ضوضاء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الصوت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في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شبكة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الصرف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الصحي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التي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تم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تصميمها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وإنتاجها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أجل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تلبية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احتياجات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معيار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 w:val="0"/>
        </w:rPr>
        <w:t>EN</w:t>
      </w:r>
      <w:r w:rsidRPr="00000000">
        <w:rPr>
          <w:sz w:val="24"/>
          <w:szCs w:val="24"/>
          <w:rtl/>
        </w:rPr>
        <w:t xml:space="preserve"> 12056  </w:t>
      </w:r>
      <w:r w:rsidRPr="00000000">
        <w:rPr>
          <w:sz w:val="24"/>
          <w:szCs w:val="24"/>
          <w:rtl/>
        </w:rPr>
        <w:t>لأنظمة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الصرف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الصحي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ذات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الجاذبية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الداخلية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للمبنى</w:t>
      </w:r>
      <w:r w:rsidRPr="00000000">
        <w:rPr>
          <w:sz w:val="24"/>
          <w:szCs w:val="24"/>
          <w:rtl/>
        </w:rPr>
        <w:t xml:space="preserve">. </w:t>
      </w:r>
    </w:p>
    <w:p w:rsidR="00000000" w:rsidRPr="00000000" w:rsidP="00000000" w14:paraId="00000040">
      <w:pPr>
        <w:pStyle w:val="normal0"/>
        <w:bidi/>
        <w:spacing w:line="360" w:lineRule="auto"/>
        <w:jc w:val="both"/>
        <w:rPr>
          <w:sz w:val="24"/>
          <w:szCs w:val="24"/>
        </w:rPr>
      </w:pP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كما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يتجاوز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الأداء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الصوتي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الفريد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الذي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لا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مثيل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له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لهذا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النظام</w:t>
      </w:r>
      <w:r w:rsidRPr="00000000">
        <w:rPr>
          <w:sz w:val="24"/>
          <w:szCs w:val="24"/>
          <w:rtl/>
        </w:rPr>
        <w:t xml:space="preserve">، </w:t>
      </w:r>
      <w:r w:rsidRPr="00000000">
        <w:rPr>
          <w:sz w:val="24"/>
          <w:szCs w:val="24"/>
          <w:rtl/>
        </w:rPr>
        <w:t>متطلبات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معايير</w:t>
      </w:r>
      <w:r w:rsidRPr="00000000">
        <w:rPr>
          <w:sz w:val="24"/>
          <w:szCs w:val="24"/>
          <w:rtl/>
        </w:rPr>
        <w:t xml:space="preserve"> 4109 </w:t>
      </w:r>
      <w:r w:rsidRPr="00000000">
        <w:rPr>
          <w:sz w:val="24"/>
          <w:szCs w:val="24"/>
          <w:rtl w:val="0"/>
        </w:rPr>
        <w:t>DIN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</w:t>
      </w:r>
      <w:r w:rsidRPr="00000000">
        <w:rPr>
          <w:sz w:val="24"/>
          <w:szCs w:val="24"/>
          <w:rtl/>
        </w:rPr>
        <w:t xml:space="preserve"> 4100 </w:t>
      </w:r>
      <w:r w:rsidRPr="00000000">
        <w:rPr>
          <w:sz w:val="24"/>
          <w:szCs w:val="24"/>
          <w:rtl w:val="0"/>
        </w:rPr>
        <w:t>VDI</w:t>
      </w:r>
      <w:r w:rsidRPr="00000000">
        <w:rPr>
          <w:sz w:val="24"/>
          <w:szCs w:val="24"/>
          <w:rtl/>
        </w:rPr>
        <w:t xml:space="preserve"> ، </w:t>
      </w:r>
      <w:r w:rsidRPr="00000000">
        <w:rPr>
          <w:sz w:val="24"/>
          <w:szCs w:val="24"/>
          <w:rtl/>
        </w:rPr>
        <w:t>مما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يجعله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الخيار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الأفضل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للمستشفيات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والفنادق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والبيئات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التعليمية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واستوديوهات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التسجيل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الصوتي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والأبراج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الشاهقة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والمنازل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السكنية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وغيرها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الاستخدامات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التي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تعطي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أهمية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خاصة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لهدوء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البيئة</w:t>
      </w:r>
      <w:r w:rsidRPr="00000000">
        <w:rPr>
          <w:sz w:val="24"/>
          <w:szCs w:val="24"/>
          <w:rtl/>
        </w:rPr>
        <w:t xml:space="preserve">. </w:t>
      </w:r>
      <w:r w:rsidRPr="00000000">
        <w:rPr>
          <w:sz w:val="24"/>
          <w:szCs w:val="24"/>
          <w:rtl/>
        </w:rPr>
        <w:t>يتم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الاتصال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في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هذا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النظام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ببساطة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عن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طريق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الضغط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على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الأنبوب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أو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الاتصال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بالمقبس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بمساعدة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حلقات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ختم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مطاطية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ولا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يتطلب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أي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غراء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أو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لحام</w:t>
      </w:r>
      <w:r w:rsidRPr="00000000">
        <w:rPr>
          <w:sz w:val="24"/>
          <w:szCs w:val="24"/>
          <w:rtl/>
        </w:rPr>
        <w:t xml:space="preserve">. </w:t>
      </w:r>
      <w:r w:rsidRPr="00000000">
        <w:rPr>
          <w:sz w:val="24"/>
          <w:szCs w:val="24"/>
          <w:rtl/>
        </w:rPr>
        <w:t>حلقات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الختم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في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هذا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النظام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هي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انتاج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شركات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اروبية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موثوقة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وتضمن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إحكام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الإغلاق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الموثوق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به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والمستقر</w:t>
      </w:r>
      <w:r w:rsidRPr="00000000">
        <w:rPr>
          <w:sz w:val="24"/>
          <w:szCs w:val="24"/>
          <w:rtl/>
        </w:rPr>
        <w:t>.</w:t>
      </w:r>
    </w:p>
    <w:p w:rsidR="00000000" w:rsidRPr="00000000" w:rsidP="00000000" w14:paraId="00000041">
      <w:pPr>
        <w:pStyle w:val="normal0"/>
        <w:bidi/>
        <w:spacing w:line="360" w:lineRule="auto"/>
        <w:jc w:val="both"/>
        <w:rPr>
          <w:sz w:val="24"/>
          <w:szCs w:val="24"/>
        </w:rPr>
      </w:pPr>
      <w:r w:rsidRPr="00000000">
        <w:rPr>
          <w:sz w:val="24"/>
          <w:szCs w:val="24"/>
          <w:rtl/>
        </w:rPr>
        <w:t>إن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استخدام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طريقة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الاتصال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هذه</w:t>
      </w:r>
      <w:r w:rsidRPr="00000000">
        <w:rPr>
          <w:sz w:val="24"/>
          <w:szCs w:val="24"/>
          <w:rtl/>
        </w:rPr>
        <w:t xml:space="preserve"> ، </w:t>
      </w:r>
      <w:r w:rsidRPr="00000000">
        <w:rPr>
          <w:sz w:val="24"/>
          <w:szCs w:val="24"/>
          <w:rtl/>
        </w:rPr>
        <w:t>بالإضافة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إلى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زيادة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سرعة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التثبيت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والتنفيذ</w:t>
      </w:r>
      <w:r w:rsidRPr="00000000">
        <w:rPr>
          <w:sz w:val="24"/>
          <w:szCs w:val="24"/>
          <w:rtl/>
        </w:rPr>
        <w:t xml:space="preserve"> ، </w:t>
      </w:r>
      <w:r w:rsidRPr="00000000">
        <w:rPr>
          <w:sz w:val="24"/>
          <w:szCs w:val="24"/>
          <w:rtl/>
        </w:rPr>
        <w:t>يزيد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مرونة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النظام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ويحافظ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على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غلق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المياه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حتى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في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الزلازل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غير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المدمرة</w:t>
      </w:r>
      <w:r w:rsidRPr="00000000">
        <w:rPr>
          <w:sz w:val="24"/>
          <w:szCs w:val="24"/>
          <w:rtl/>
        </w:rPr>
        <w:t xml:space="preserve">. </w:t>
      </w:r>
      <w:r w:rsidRPr="00000000">
        <w:rPr>
          <w:sz w:val="24"/>
          <w:szCs w:val="24"/>
          <w:rtl/>
        </w:rPr>
        <w:t>يتم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إنتاج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نظام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بوليران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الصامت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بواسطة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أحدث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تقنيات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البثق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المشترك</w:t>
      </w:r>
      <w:r w:rsidRPr="00000000">
        <w:rPr>
          <w:sz w:val="24"/>
          <w:szCs w:val="24"/>
          <w:rtl/>
        </w:rPr>
        <w:t xml:space="preserve">  </w:t>
      </w:r>
      <w:r w:rsidRPr="00000000">
        <w:rPr>
          <w:sz w:val="24"/>
          <w:szCs w:val="24"/>
          <w:rtl/>
        </w:rPr>
        <w:t>في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هيكل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ثلاث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طبقات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قادر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على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امتصاص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صوت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غير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عادي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ومقاومة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فيزيائية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فريدة</w:t>
      </w:r>
      <w:r w:rsidRPr="00000000">
        <w:rPr>
          <w:sz w:val="24"/>
          <w:szCs w:val="24"/>
          <w:rtl/>
        </w:rPr>
        <w:t>:</w:t>
      </w:r>
    </w:p>
    <w:p w:rsidR="00000000" w:rsidRPr="00000000" w:rsidP="00000000" w14:paraId="00000042">
      <w:pPr>
        <w:pStyle w:val="normal0"/>
        <w:bidi/>
        <w:spacing w:line="360" w:lineRule="auto"/>
        <w:jc w:val="both"/>
        <w:rPr>
          <w:sz w:val="24"/>
          <w:szCs w:val="24"/>
        </w:rPr>
      </w:pPr>
    </w:p>
    <w:p w:rsidR="00000000" w:rsidRPr="00000000" w:rsidP="00000000" w14:paraId="00000043">
      <w:pPr>
        <w:pStyle w:val="normal0"/>
        <w:bidi/>
        <w:spacing w:line="360" w:lineRule="auto"/>
        <w:jc w:val="both"/>
        <w:rPr>
          <w:sz w:val="24"/>
          <w:szCs w:val="24"/>
        </w:rPr>
      </w:pPr>
      <w:r w:rsidRPr="00000000">
        <w:rPr>
          <w:sz w:val="24"/>
          <w:szCs w:val="24"/>
          <w:rtl/>
        </w:rPr>
        <w:t xml:space="preserve">1. </w:t>
      </w:r>
      <w:r w:rsidRPr="00000000">
        <w:rPr>
          <w:sz w:val="24"/>
          <w:szCs w:val="24"/>
          <w:rtl/>
        </w:rPr>
        <w:t>الطبقة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الخارجية</w:t>
      </w:r>
    </w:p>
    <w:p w:rsidR="00000000" w:rsidRPr="00000000" w:rsidP="00000000" w14:paraId="00000044">
      <w:pPr>
        <w:pStyle w:val="normal0"/>
        <w:bidi/>
        <w:spacing w:line="360" w:lineRule="auto"/>
        <w:jc w:val="both"/>
        <w:rPr>
          <w:sz w:val="24"/>
          <w:szCs w:val="24"/>
        </w:rPr>
      </w:pPr>
      <w:r w:rsidRPr="00000000">
        <w:rPr>
          <w:sz w:val="24"/>
          <w:szCs w:val="24"/>
          <w:rtl/>
        </w:rPr>
        <w:t>مصنوعة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البولي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بروبلين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مع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خصائص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ميكانيكية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ممتازة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للغاية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مع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مقاومة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عالية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للضغوط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الخارجية</w:t>
      </w:r>
      <w:r w:rsidRPr="00000000">
        <w:rPr>
          <w:sz w:val="24"/>
          <w:szCs w:val="24"/>
          <w:rtl/>
        </w:rPr>
        <w:t xml:space="preserve"> </w:t>
      </w:r>
    </w:p>
    <w:p w:rsidR="00000000" w:rsidRPr="00000000" w:rsidP="00000000" w14:paraId="00000045">
      <w:pPr>
        <w:pStyle w:val="normal0"/>
        <w:bidi/>
        <w:spacing w:line="360" w:lineRule="auto"/>
        <w:jc w:val="both"/>
        <w:rPr>
          <w:sz w:val="24"/>
          <w:szCs w:val="24"/>
        </w:rPr>
      </w:pPr>
    </w:p>
    <w:p w:rsidR="00000000" w:rsidRPr="00000000" w:rsidP="00000000" w14:paraId="00000046">
      <w:pPr>
        <w:pStyle w:val="normal0"/>
        <w:bidi/>
        <w:spacing w:line="360" w:lineRule="auto"/>
        <w:jc w:val="both"/>
        <w:rPr>
          <w:sz w:val="24"/>
          <w:szCs w:val="24"/>
        </w:rPr>
      </w:pPr>
    </w:p>
    <w:p w:rsidR="00000000" w:rsidRPr="00000000" w:rsidP="00000000" w14:paraId="00000047">
      <w:pPr>
        <w:pStyle w:val="normal0"/>
        <w:bidi/>
        <w:spacing w:line="360" w:lineRule="auto"/>
        <w:jc w:val="both"/>
        <w:rPr>
          <w:sz w:val="24"/>
          <w:szCs w:val="24"/>
        </w:rPr>
      </w:pPr>
      <w:r w:rsidRPr="00000000">
        <w:rPr>
          <w:sz w:val="24"/>
          <w:szCs w:val="24"/>
          <w:rtl/>
        </w:rPr>
        <w:t xml:space="preserve">2. </w:t>
      </w:r>
      <w:r w:rsidRPr="00000000">
        <w:rPr>
          <w:sz w:val="24"/>
          <w:szCs w:val="24"/>
          <w:rtl/>
        </w:rPr>
        <w:t>الطبقة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الوسطى</w:t>
      </w:r>
      <w:r w:rsidRPr="00000000">
        <w:rPr>
          <w:sz w:val="24"/>
          <w:szCs w:val="24"/>
          <w:rtl/>
        </w:rPr>
        <w:t xml:space="preserve"> </w:t>
      </w:r>
    </w:p>
    <w:p w:rsidR="00000000" w:rsidRPr="00000000" w:rsidP="00000000" w14:paraId="00000048">
      <w:pPr>
        <w:pStyle w:val="normal0"/>
        <w:bidi/>
        <w:spacing w:line="360" w:lineRule="auto"/>
        <w:jc w:val="both"/>
        <w:rPr>
          <w:sz w:val="24"/>
          <w:szCs w:val="24"/>
        </w:rPr>
      </w:pPr>
      <w:r w:rsidRPr="00000000">
        <w:rPr>
          <w:sz w:val="24"/>
          <w:szCs w:val="24"/>
          <w:rtl/>
        </w:rPr>
        <w:t>مصنوعة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مركب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حصري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 w:val="0"/>
        </w:rPr>
        <w:t>Poliran</w:t>
      </w:r>
      <w:r w:rsidRPr="00000000">
        <w:rPr>
          <w:sz w:val="24"/>
          <w:szCs w:val="24"/>
          <w:rtl w:val="0"/>
        </w:rPr>
        <w:t>-</w:t>
      </w:r>
      <w:r w:rsidRPr="00000000">
        <w:rPr>
          <w:sz w:val="24"/>
          <w:szCs w:val="24"/>
          <w:rtl w:val="0"/>
        </w:rPr>
        <w:t>KB</w:t>
      </w:r>
    </w:p>
    <w:p w:rsidR="00000000" w:rsidRPr="00000000" w:rsidP="00000000" w14:paraId="00000049">
      <w:pPr>
        <w:pStyle w:val="normal0"/>
        <w:bidi/>
        <w:spacing w:line="360" w:lineRule="auto"/>
        <w:jc w:val="both"/>
        <w:rPr>
          <w:sz w:val="24"/>
          <w:szCs w:val="24"/>
        </w:rPr>
      </w:pPr>
      <w:r w:rsidRPr="00000000">
        <w:rPr>
          <w:sz w:val="24"/>
          <w:szCs w:val="24"/>
          <w:rtl/>
        </w:rPr>
        <w:t>(</w:t>
      </w:r>
      <w:r w:rsidRPr="00000000">
        <w:rPr>
          <w:sz w:val="24"/>
          <w:szCs w:val="24"/>
          <w:rtl/>
        </w:rPr>
        <w:t>بوليران</w:t>
      </w:r>
      <w:r w:rsidRPr="00000000">
        <w:rPr>
          <w:sz w:val="24"/>
          <w:szCs w:val="24"/>
          <w:rtl w:val="0"/>
        </w:rPr>
        <w:t>KB</w:t>
      </w:r>
      <w:r w:rsidRPr="00000000">
        <w:rPr>
          <w:sz w:val="24"/>
          <w:szCs w:val="24"/>
          <w:rtl/>
        </w:rPr>
        <w:t xml:space="preserve">)  ، </w:t>
      </w:r>
      <w:r w:rsidRPr="00000000">
        <w:rPr>
          <w:sz w:val="24"/>
          <w:szCs w:val="24"/>
          <w:rtl/>
        </w:rPr>
        <w:t>قوة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عالية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وتقليل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فريد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لنقل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الصوت</w:t>
      </w:r>
    </w:p>
    <w:p w:rsidR="00000000" w:rsidRPr="00000000" w:rsidP="00000000" w14:paraId="0000004A">
      <w:pPr>
        <w:pStyle w:val="normal0"/>
        <w:bidi/>
        <w:spacing w:line="360" w:lineRule="auto"/>
        <w:jc w:val="both"/>
        <w:rPr>
          <w:sz w:val="24"/>
          <w:szCs w:val="24"/>
        </w:rPr>
      </w:pPr>
    </w:p>
    <w:p w:rsidR="00000000" w:rsidRPr="00000000" w:rsidP="00000000" w14:paraId="0000004B">
      <w:pPr>
        <w:pStyle w:val="normal0"/>
        <w:bidi/>
        <w:spacing w:line="360" w:lineRule="auto"/>
        <w:jc w:val="both"/>
        <w:rPr>
          <w:sz w:val="24"/>
          <w:szCs w:val="24"/>
        </w:rPr>
      </w:pPr>
    </w:p>
    <w:p w:rsidR="00000000" w:rsidRPr="00000000" w:rsidP="00000000" w14:paraId="0000004C">
      <w:pPr>
        <w:pStyle w:val="normal0"/>
        <w:bidi/>
        <w:spacing w:line="360" w:lineRule="auto"/>
        <w:jc w:val="both"/>
        <w:rPr>
          <w:sz w:val="24"/>
          <w:szCs w:val="24"/>
        </w:rPr>
      </w:pPr>
      <w:r w:rsidRPr="00000000">
        <w:rPr>
          <w:sz w:val="24"/>
          <w:szCs w:val="24"/>
          <w:rtl/>
        </w:rPr>
        <w:t xml:space="preserve">3. </w:t>
      </w:r>
      <w:r w:rsidRPr="00000000">
        <w:rPr>
          <w:sz w:val="24"/>
          <w:szCs w:val="24"/>
          <w:rtl/>
        </w:rPr>
        <w:t>الطبقة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الداخلية</w:t>
      </w:r>
    </w:p>
    <w:p w:rsidR="00000000" w:rsidRPr="00000000" w:rsidP="00000000" w14:paraId="0000004D">
      <w:pPr>
        <w:pStyle w:val="normal0"/>
        <w:bidi/>
        <w:spacing w:line="360" w:lineRule="auto"/>
        <w:jc w:val="both"/>
        <w:rPr>
          <w:sz w:val="24"/>
          <w:szCs w:val="24"/>
        </w:rPr>
      </w:pPr>
      <w:r w:rsidRPr="00000000">
        <w:rPr>
          <w:sz w:val="24"/>
          <w:szCs w:val="24"/>
          <w:rtl/>
        </w:rPr>
        <w:t>طبقة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ناعمة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ومصقولة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مع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الحد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الأدنى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إمكانية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الانسداد</w:t>
      </w:r>
      <w:r w:rsidRPr="00000000">
        <w:rPr>
          <w:sz w:val="24"/>
          <w:szCs w:val="24"/>
          <w:rtl/>
        </w:rPr>
        <w:t xml:space="preserve">. </w:t>
      </w:r>
      <w:r w:rsidRPr="00000000">
        <w:rPr>
          <w:sz w:val="24"/>
          <w:szCs w:val="24"/>
          <w:rtl/>
        </w:rPr>
        <w:t>مصنوعة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من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البولي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بروبلين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المقاوم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لدرجات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الحرارة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العالية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والمواد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الكيميائية</w:t>
      </w:r>
      <w:r w:rsidRPr="00000000">
        <w:rPr>
          <w:sz w:val="24"/>
          <w:szCs w:val="24"/>
          <w:rtl/>
        </w:rPr>
        <w:t xml:space="preserve"> </w:t>
      </w:r>
      <w:r w:rsidRPr="00000000">
        <w:rPr>
          <w:sz w:val="24"/>
          <w:szCs w:val="24"/>
          <w:rtl/>
        </w:rPr>
        <w:t>المختلفة</w:t>
      </w:r>
      <w:r w:rsidRPr="00000000">
        <w:rPr>
          <w:sz w:val="24"/>
          <w:szCs w:val="24"/>
          <w:rtl/>
        </w:rPr>
        <w:t xml:space="preserve">. </w:t>
      </w:r>
    </w:p>
    <w:p w:rsidR="00000000" w:rsidRPr="00000000" w:rsidP="00000000" w14:paraId="0000004E">
      <w:pPr>
        <w:pStyle w:val="normal0"/>
        <w:bidi/>
        <w:spacing w:line="360" w:lineRule="auto"/>
        <w:jc w:val="both"/>
        <w:rPr>
          <w:sz w:val="24"/>
          <w:szCs w:val="24"/>
        </w:rPr>
      </w:pPr>
    </w:p>
    <w:p w:rsidR="00000000" w:rsidRPr="00000000" w:rsidP="00000000" w14:paraId="0000004F">
      <w:pPr>
        <w:pStyle w:val="normal0"/>
        <w:bidi/>
        <w:spacing w:line="360" w:lineRule="auto"/>
        <w:jc w:val="both"/>
        <w:rPr>
          <w:sz w:val="24"/>
          <w:szCs w:val="24"/>
        </w:rPr>
      </w:pPr>
    </w:p>
    <w:p w:rsidR="00000000" w:rsidRPr="00000000" w:rsidP="00000000" w14:paraId="00000050">
      <w:pPr>
        <w:pStyle w:val="normal0"/>
        <w:bidi/>
        <w:spacing w:line="360" w:lineRule="auto"/>
        <w:jc w:val="left"/>
      </w:pPr>
    </w:p>
    <w:p w:rsidR="00000000" w:rsidRPr="00000000" w:rsidP="00000000" w14:paraId="00000051">
      <w:pPr>
        <w:pStyle w:val="normal0"/>
        <w:bidi/>
        <w:spacing w:line="360" w:lineRule="auto"/>
        <w:jc w:val="left"/>
      </w:pPr>
    </w:p>
    <w:p w:rsidR="00000000" w:rsidRPr="00000000" w:rsidP="00000000" w14:paraId="00000052">
      <w:pPr>
        <w:pStyle w:val="normal0"/>
        <w:bidi/>
        <w:spacing w:line="360" w:lineRule="auto"/>
        <w:jc w:val="left"/>
      </w:pPr>
    </w:p>
    <w:p w:rsidR="00000000" w:rsidRPr="00000000" w:rsidP="00000000" w14:paraId="00000053">
      <w:pPr>
        <w:pStyle w:val="normal0"/>
        <w:bidi/>
        <w:spacing w:line="360" w:lineRule="auto"/>
        <w:jc w:val="left"/>
      </w:pPr>
    </w:p>
    <w:p w:rsidR="00000000" w:rsidRPr="00000000" w:rsidP="00000000" w14:paraId="00000054">
      <w:pPr>
        <w:pStyle w:val="normal0"/>
        <w:bidi/>
        <w:spacing w:line="360" w:lineRule="auto"/>
        <w:jc w:val="left"/>
      </w:pPr>
      <w:r w:rsidRPr="00000000">
        <w:rPr>
          <w:rtl w:val="0"/>
        </w:rPr>
        <w:t xml:space="preserve"> </w:t>
      </w:r>
    </w:p>
    <w:p w:rsidR="00000000" w:rsidRPr="00000000" w:rsidP="00000000" w14:paraId="00000055">
      <w:pPr>
        <w:pStyle w:val="normal0"/>
        <w:bidi/>
        <w:spacing w:line="360" w:lineRule="auto"/>
        <w:jc w:val="left"/>
      </w:pPr>
    </w:p>
    <w:p w:rsidR="00000000" w:rsidRPr="00000000" w:rsidP="00000000" w14:paraId="00000056">
      <w:pPr>
        <w:pStyle w:val="normal0"/>
        <w:bidi/>
        <w:spacing w:line="360" w:lineRule="auto"/>
        <w:jc w:val="left"/>
      </w:pPr>
    </w:p>
    <w:p w:rsidR="00000000" w:rsidRPr="00000000" w:rsidP="00000000" w14:paraId="00000057">
      <w:pPr>
        <w:pStyle w:val="normal0"/>
        <w:bidi/>
        <w:spacing w:line="360" w:lineRule="auto"/>
        <w:jc w:val="left"/>
      </w:pPr>
    </w:p>
    <w:sectPr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