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كدمترجمي</w:t>
      </w:r>
      <w:r w:rsidDel="00000000" w:rsidR="00000000" w:rsidRPr="00000000">
        <w:rPr>
          <w:b w:val="1"/>
          <w:i w:val="1"/>
          <w:rtl w:val="1"/>
        </w:rPr>
        <w:t xml:space="preserve"> /307680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سفارش</w:t>
      </w:r>
      <w:r w:rsidDel="00000000" w:rsidR="00000000" w:rsidRPr="00000000">
        <w:rPr>
          <w:b w:val="1"/>
          <w:i w:val="1"/>
          <w:rtl w:val="1"/>
        </w:rPr>
        <w:t xml:space="preserve"> /۱۳۰۲۳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ترجمه</w:t>
      </w:r>
      <w:r w:rsidDel="00000000" w:rsidR="00000000" w:rsidRPr="00000000">
        <w:rPr>
          <w:b w:val="1"/>
          <w:i w:val="1"/>
          <w:rtl w:val="1"/>
        </w:rPr>
        <w:t xml:space="preserve"> :</w:t>
      </w:r>
      <w:r w:rsidDel="00000000" w:rsidR="00000000" w:rsidRPr="00000000">
        <w:rPr>
          <w:b w:val="1"/>
          <w:i w:val="1"/>
          <w:rtl w:val="1"/>
        </w:rPr>
        <w:t xml:space="preserve">عربي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نكته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پیشنهادات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سرویس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نقاط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واقتراحات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أجل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أفضل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روغن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گیربکس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10 </w:t>
      </w:r>
      <w:r w:rsidDel="00000000" w:rsidR="00000000" w:rsidRPr="00000000">
        <w:rPr>
          <w:sz w:val="24"/>
          <w:szCs w:val="24"/>
          <w:rtl w:val="1"/>
        </w:rPr>
        <w:t xml:space="preserve">ساعت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تعویض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نمایید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روغن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SAE</w:t>
      </w:r>
      <w:r w:rsidDel="00000000" w:rsidR="00000000" w:rsidRPr="00000000">
        <w:rPr>
          <w:sz w:val="24"/>
          <w:szCs w:val="24"/>
          <w:rtl w:val="1"/>
        </w:rPr>
        <w:t xml:space="preserve">250 </w:t>
      </w:r>
      <w:r w:rsidDel="00000000" w:rsidR="00000000" w:rsidRPr="00000000">
        <w:rPr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انتخاب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گیربکس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روغن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بستگی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بنزینی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دیزلی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روغن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دیزلی</w:t>
      </w:r>
      <w:r w:rsidDel="00000000" w:rsidR="00000000" w:rsidRPr="00000000">
        <w:rPr>
          <w:sz w:val="24"/>
          <w:szCs w:val="24"/>
          <w:rtl w:val="1"/>
        </w:rPr>
        <w:t xml:space="preserve"> 20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sz w:val="24"/>
          <w:szCs w:val="24"/>
          <w:rtl w:val="1"/>
        </w:rPr>
        <w:t xml:space="preserve">50</w:t>
      </w:r>
      <w:r w:rsidDel="00000000" w:rsidR="00000000" w:rsidRPr="00000000">
        <w:rPr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انتخاب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دیزل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نگهداشتن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طولانی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کلاچ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صدمه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کلاچ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اجسام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ریشه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صدمه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إبقائه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ضغطا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وأضرارا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اعتمادا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نحوه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مونتاژ</w:t>
      </w:r>
      <w:r w:rsidDel="00000000" w:rsidR="00000000" w:rsidRPr="00000000">
        <w:rPr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روشن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کردن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موتور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اندازی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جعبه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بازگشایی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1"/>
        </w:rPr>
        <w:t xml:space="preserve"> 602 </w:t>
      </w:r>
      <w:r w:rsidDel="00000000" w:rsidR="00000000" w:rsidRPr="00000000">
        <w:rPr>
          <w:sz w:val="24"/>
          <w:szCs w:val="24"/>
          <w:rtl w:val="0"/>
        </w:rPr>
        <w:t xml:space="preserve">BBS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شاستی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تیغه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پيچ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ببندی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تمامی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کنترل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کارخانه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کارشناسان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انجام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سوخت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مطمئن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گیربکس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خلاصى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هندل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نمایید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کاتربار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برش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را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مطابق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شکل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مونتاژ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نمایید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روبند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هولدر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(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قابل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تنظیم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نباید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تيغ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2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میلیمتر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فاصله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داشته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باشد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سیم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کالچ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حالت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عادی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بایستی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اندازه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10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میلی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متر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آزاد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باشد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.. </w:t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صندوق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بتوصيل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فنيين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بتزود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تأكد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وأجهزة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والدوارات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0">
      <w:pPr>
        <w:bidi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بتجميع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للشكل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غلاف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الهولدر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للتعديل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) </w:t>
      </w:r>
    </w:p>
    <w:p w:rsidR="00000000" w:rsidDel="00000000" w:rsidP="00000000" w:rsidRDefault="00000000" w:rsidRPr="00000000" w14:paraId="000000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،(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الكلاج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حرا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بقياس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6"/>
        <w:bidi w:val="1"/>
        <w:spacing w:line="36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ترجمه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بعدي</w:t>
      </w:r>
      <w:r w:rsidDel="00000000" w:rsidR="00000000" w:rsidRPr="00000000">
        <w:rPr>
          <w:rtl w:val="1"/>
        </w:rPr>
        <w:t xml:space="preserve">&gt;&gt;&gt;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