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D7" w:rsidRDefault="00C471DC">
      <w:pPr>
        <w:widowControl w:val="0"/>
        <w:autoSpaceDE w:val="0"/>
        <w:autoSpaceDN w:val="0"/>
        <w:bidi w:val="0"/>
        <w:adjustRightInd w:val="0"/>
        <w:spacing w:after="0" w:line="280" w:lineRule="exact"/>
        <w:ind w:left="2218" w:right="87"/>
        <w:jc w:val="both"/>
        <w:rPr>
          <w:rFonts w:ascii="Times New Roman" w:hAnsi="Times New Roman" w:cs="Times New Roman"/>
          <w:color w:val="000000"/>
          <w:w w:val="108"/>
          <w:sz w:val="19"/>
          <w:szCs w:val="19"/>
        </w:rPr>
      </w:pPr>
      <w:bookmarkStart w:id="0" w:name="Pg1"/>
      <w:bookmarkEnd w:id="0"/>
      <w:r>
        <w:rPr>
          <w:rFonts w:ascii="Times New Roman" w:hAnsi="Times New Roman" w:cs="Times New Roman"/>
          <w:color w:val="000000"/>
          <w:w w:val="112"/>
          <w:sz w:val="19"/>
          <w:szCs w:val="19"/>
        </w:rPr>
        <w:t xml:space="preserve">technology, or software were exported from the United States in accordance with the </w:t>
      </w:r>
      <w:r>
        <w:rPr>
          <w:rFonts w:ascii="Times New Roman" w:hAnsi="Times New Roman" w:cs="Times New Roman"/>
          <w:color w:val="000000"/>
          <w:w w:val="108"/>
          <w:sz w:val="19"/>
          <w:szCs w:val="19"/>
        </w:rPr>
        <w:t xml:space="preserve">Export Administration Regulations. Diversion contrary to U.S. law is prohibited." </w:t>
      </w:r>
    </w:p>
    <w:p w:rsidR="00024FD7" w:rsidRDefault="00C471DC">
      <w:pPr>
        <w:widowControl w:val="0"/>
        <w:autoSpaceDE w:val="0"/>
        <w:autoSpaceDN w:val="0"/>
        <w:bidi w:val="0"/>
        <w:adjustRightInd w:val="0"/>
        <w:spacing w:before="130" w:after="0" w:line="280" w:lineRule="exact"/>
        <w:ind w:left="2223" w:right="298" w:firstLine="5"/>
        <w:jc w:val="both"/>
        <w:rPr>
          <w:rFonts w:ascii="Times New Roman" w:hAnsi="Times New Roman" w:cs="Times New Roman"/>
          <w:color w:val="000000"/>
          <w:w w:val="111"/>
          <w:sz w:val="19"/>
          <w:szCs w:val="19"/>
        </w:rPr>
      </w:pPr>
      <w:r>
        <w:rPr>
          <w:rFonts w:ascii="Times New Roman" w:hAnsi="Times New Roman" w:cs="Times New Roman"/>
          <w:color w:val="000000"/>
          <w:w w:val="112"/>
          <w:sz w:val="19"/>
          <w:szCs w:val="19"/>
        </w:rPr>
        <w:t xml:space="preserve">Exceptions to the use of the destination control statement are listed in Part 758.6 </w:t>
      </w:r>
      <w:r>
        <w:rPr>
          <w:rFonts w:ascii="Times New Roman" w:hAnsi="Times New Roman" w:cs="Times New Roman"/>
          <w:color w:val="000000"/>
          <w:w w:val="111"/>
          <w:sz w:val="19"/>
          <w:szCs w:val="19"/>
        </w:rPr>
        <w:t xml:space="preserve">of the EAR. Advice on the appropriate statement to use can be provided by the U.S. Department of Commerce, an attorney, or the freight forwarder. </w:t>
      </w:r>
    </w:p>
    <w:p w:rsidR="00024FD7" w:rsidRDefault="00024FD7">
      <w:pPr>
        <w:widowControl w:val="0"/>
        <w:autoSpaceDE w:val="0"/>
        <w:autoSpaceDN w:val="0"/>
        <w:bidi w:val="0"/>
        <w:adjustRightInd w:val="0"/>
        <w:spacing w:after="0" w:line="230" w:lineRule="exact"/>
        <w:ind w:left="2218"/>
        <w:rPr>
          <w:rFonts w:ascii="Times New Roman" w:hAnsi="Times New Roman" w:cs="Times New Roman"/>
          <w:color w:val="000000"/>
          <w:w w:val="111"/>
          <w:sz w:val="19"/>
          <w:szCs w:val="19"/>
        </w:rPr>
      </w:pPr>
    </w:p>
    <w:p w:rsidR="00024FD7" w:rsidRDefault="00C471DC">
      <w:pPr>
        <w:widowControl w:val="0"/>
        <w:autoSpaceDE w:val="0"/>
        <w:autoSpaceDN w:val="0"/>
        <w:bidi w:val="0"/>
        <w:adjustRightInd w:val="0"/>
        <w:spacing w:before="152" w:after="0" w:line="230" w:lineRule="exact"/>
        <w:ind w:left="2218"/>
        <w:rPr>
          <w:rFonts w:ascii="Times New Roman" w:hAnsi="Times New Roman" w:cs="Times New Roman"/>
          <w:b/>
          <w:bCs/>
          <w:color w:val="EE3123"/>
          <w:w w:val="106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color w:val="EE3123"/>
          <w:w w:val="106"/>
          <w:sz w:val="20"/>
          <w:szCs w:val="20"/>
        </w:rPr>
        <w:t>Antiboycott</w:t>
      </w:r>
      <w:proofErr w:type="spellEnd"/>
      <w:r>
        <w:rPr>
          <w:rFonts w:ascii="Times New Roman" w:hAnsi="Times New Roman" w:cs="Times New Roman"/>
          <w:b/>
          <w:bCs/>
          <w:color w:val="EE3123"/>
          <w:w w:val="106"/>
          <w:sz w:val="20"/>
          <w:szCs w:val="20"/>
        </w:rPr>
        <w:t xml:space="preserve"> Regulations </w:t>
      </w:r>
    </w:p>
    <w:p w:rsidR="00024FD7" w:rsidRDefault="00C471DC">
      <w:pPr>
        <w:widowControl w:val="0"/>
        <w:autoSpaceDE w:val="0"/>
        <w:autoSpaceDN w:val="0"/>
        <w:bidi w:val="0"/>
        <w:adjustRightInd w:val="0"/>
        <w:spacing w:before="109" w:after="0" w:line="280" w:lineRule="exact"/>
        <w:ind w:left="2214" w:right="115"/>
        <w:rPr>
          <w:rFonts w:ascii="Times New Roman" w:hAnsi="Times New Roman" w:cs="Times New Roman"/>
          <w:color w:val="000000"/>
          <w:w w:val="110"/>
          <w:sz w:val="19"/>
          <w:szCs w:val="19"/>
        </w:rPr>
      </w:pPr>
      <w:r>
        <w:rPr>
          <w:rFonts w:ascii="Times New Roman" w:hAnsi="Times New Roman" w:cs="Times New Roman"/>
          <w:color w:val="000000"/>
          <w:w w:val="111"/>
          <w:sz w:val="19"/>
          <w:szCs w:val="19"/>
        </w:rPr>
        <w:t xml:space="preserve">The U.S. has an established policy of opposing restrictive trade practices or boycotts </w:t>
      </w:r>
      <w:r>
        <w:rPr>
          <w:rFonts w:ascii="Times New Roman" w:hAnsi="Times New Roman" w:cs="Times New Roman"/>
          <w:color w:val="000000"/>
          <w:w w:val="113"/>
          <w:sz w:val="19"/>
          <w:szCs w:val="19"/>
        </w:rPr>
        <w:t xml:space="preserve">fostered or imposed by foreign countries against other countries friendly to the </w:t>
      </w:r>
      <w:r>
        <w:rPr>
          <w:rFonts w:ascii="Times New Roman" w:hAnsi="Times New Roman" w:cs="Times New Roman"/>
          <w:color w:val="000000"/>
          <w:w w:val="113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w w:val="110"/>
          <w:sz w:val="19"/>
          <w:szCs w:val="19"/>
        </w:rPr>
        <w:t xml:space="preserve">U.S. This policy is implemented through the anti-boycott provisions of the Export </w:t>
      </w:r>
      <w:r>
        <w:rPr>
          <w:rFonts w:ascii="Times New Roman" w:hAnsi="Times New Roman" w:cs="Times New Roman"/>
          <w:color w:val="000000"/>
          <w:w w:val="109"/>
          <w:sz w:val="19"/>
          <w:szCs w:val="19"/>
        </w:rPr>
        <w:t xml:space="preserve">Administration Act of 1979 (EAA)—enforced by the U.S. Department of Commerce— </w:t>
      </w:r>
      <w:r>
        <w:rPr>
          <w:rFonts w:ascii="Times New Roman" w:hAnsi="Times New Roman" w:cs="Times New Roman"/>
          <w:color w:val="000000"/>
          <w:w w:val="110"/>
          <w:sz w:val="19"/>
          <w:szCs w:val="19"/>
        </w:rPr>
        <w:t xml:space="preserve">and through a 1977 amendment to the Tax Reform Act of 1976—enforced by the U.S. Department of </w:t>
      </w:r>
      <w:proofErr w:type="spellStart"/>
      <w:r>
        <w:rPr>
          <w:rFonts w:ascii="Times New Roman" w:hAnsi="Times New Roman" w:cs="Times New Roman"/>
          <w:color w:val="000000"/>
          <w:w w:val="110"/>
          <w:sz w:val="19"/>
          <w:szCs w:val="19"/>
        </w:rPr>
        <w:t>theTreasury</w:t>
      </w:r>
      <w:proofErr w:type="spellEnd"/>
      <w:r>
        <w:rPr>
          <w:rFonts w:ascii="Times New Roman" w:hAnsi="Times New Roman" w:cs="Times New Roman"/>
          <w:color w:val="000000"/>
          <w:w w:val="110"/>
          <w:sz w:val="19"/>
          <w:szCs w:val="19"/>
        </w:rPr>
        <w:t xml:space="preserve">. </w:t>
      </w:r>
    </w:p>
    <w:p w:rsidR="00024FD7" w:rsidRDefault="00C471DC">
      <w:pPr>
        <w:widowControl w:val="0"/>
        <w:autoSpaceDE w:val="0"/>
        <w:autoSpaceDN w:val="0"/>
        <w:bidi w:val="0"/>
        <w:adjustRightInd w:val="0"/>
        <w:spacing w:before="180" w:after="0" w:line="280" w:lineRule="exact"/>
        <w:ind w:left="2223" w:right="379" w:firstLine="5"/>
        <w:jc w:val="both"/>
        <w:rPr>
          <w:rFonts w:ascii="Times New Roman" w:hAnsi="Times New Roman" w:cs="Times New Roman"/>
          <w:color w:val="000000"/>
          <w:w w:val="112"/>
          <w:sz w:val="19"/>
          <w:szCs w:val="19"/>
        </w:rPr>
      </w:pPr>
      <w:r>
        <w:rPr>
          <w:rFonts w:ascii="Times New Roman" w:hAnsi="Times New Roman" w:cs="Times New Roman"/>
          <w:color w:val="000000"/>
          <w:w w:val="108"/>
          <w:sz w:val="19"/>
          <w:szCs w:val="19"/>
        </w:rPr>
        <w:t xml:space="preserve">Part 760 of the EAR implements the EAA's anti-boycott provisions. U.S. persons are </w:t>
      </w:r>
      <w:r>
        <w:rPr>
          <w:rFonts w:ascii="Times New Roman" w:hAnsi="Times New Roman" w:cs="Times New Roman"/>
          <w:color w:val="000000"/>
          <w:w w:val="112"/>
          <w:sz w:val="19"/>
          <w:szCs w:val="19"/>
        </w:rPr>
        <w:t xml:space="preserve">prohibited from taking certain actions with the intent to comply with, further, or support an unsolicited foreign boycott. Prohibitions include: </w:t>
      </w:r>
    </w:p>
    <w:p w:rsidR="00024FD7" w:rsidRDefault="00C471DC">
      <w:pPr>
        <w:widowControl w:val="0"/>
        <w:autoSpaceDE w:val="0"/>
        <w:autoSpaceDN w:val="0"/>
        <w:bidi w:val="0"/>
        <w:adjustRightInd w:val="0"/>
        <w:spacing w:before="132" w:after="0" w:line="218" w:lineRule="exact"/>
        <w:ind w:left="2430"/>
        <w:rPr>
          <w:rFonts w:ascii="Times New Roman" w:hAnsi="Times New Roman" w:cs="Times New Roman"/>
          <w:color w:val="000000"/>
          <w:w w:val="111"/>
          <w:sz w:val="19"/>
          <w:szCs w:val="19"/>
        </w:rPr>
      </w:pPr>
      <w:r>
        <w:rPr>
          <w:rFonts w:ascii="Times New Roman" w:hAnsi="Times New Roman" w:cs="Times New Roman"/>
          <w:color w:val="EE3123"/>
          <w:w w:val="111"/>
          <w:sz w:val="19"/>
          <w:szCs w:val="19"/>
        </w:rPr>
        <w:t xml:space="preserve">• </w:t>
      </w:r>
      <w:bookmarkStart w:id="1" w:name="OLE_LINK1"/>
      <w:bookmarkStart w:id="2" w:name="OLE_LINK2"/>
      <w:r>
        <w:rPr>
          <w:rFonts w:ascii="Times New Roman" w:hAnsi="Times New Roman" w:cs="Times New Roman"/>
          <w:color w:val="000000"/>
          <w:w w:val="111"/>
          <w:sz w:val="19"/>
          <w:szCs w:val="19"/>
        </w:rPr>
        <w:t xml:space="preserve">Refusing to do business with a boycotted or blacklisted entity </w:t>
      </w:r>
      <w:bookmarkEnd w:id="1"/>
      <w:bookmarkEnd w:id="2"/>
    </w:p>
    <w:p w:rsidR="00024FD7" w:rsidRDefault="00C471DC">
      <w:pPr>
        <w:widowControl w:val="0"/>
        <w:autoSpaceDE w:val="0"/>
        <w:autoSpaceDN w:val="0"/>
        <w:bidi w:val="0"/>
        <w:adjustRightInd w:val="0"/>
        <w:spacing w:before="108" w:after="0" w:line="260" w:lineRule="exact"/>
        <w:ind w:left="2430" w:right="360"/>
        <w:rPr>
          <w:rFonts w:ascii="Times New Roman" w:hAnsi="Times New Roman" w:cs="Times New Roman"/>
          <w:color w:val="000000"/>
          <w:w w:val="109"/>
          <w:sz w:val="19"/>
          <w:szCs w:val="19"/>
        </w:rPr>
      </w:pPr>
      <w:r>
        <w:rPr>
          <w:rFonts w:ascii="Times New Roman" w:hAnsi="Times New Roman" w:cs="Times New Roman"/>
          <w:color w:val="EE3123"/>
          <w:w w:val="111"/>
          <w:sz w:val="19"/>
          <w:szCs w:val="19"/>
        </w:rPr>
        <w:t xml:space="preserve">• </w:t>
      </w:r>
      <w:bookmarkStart w:id="3" w:name="OLE_LINK3"/>
      <w:bookmarkStart w:id="4" w:name="OLE_LINK4"/>
      <w:r>
        <w:rPr>
          <w:rFonts w:ascii="Times New Roman" w:hAnsi="Times New Roman" w:cs="Times New Roman"/>
          <w:color w:val="000000"/>
          <w:w w:val="111"/>
          <w:sz w:val="19"/>
          <w:szCs w:val="19"/>
        </w:rPr>
        <w:t xml:space="preserve">Discriminating against, or agreeing to discriminate against, any U.S. person on </w:t>
      </w:r>
      <w:r>
        <w:rPr>
          <w:rFonts w:ascii="Times New Roman" w:hAnsi="Times New Roman" w:cs="Times New Roman"/>
          <w:color w:val="000000"/>
          <w:w w:val="109"/>
          <w:sz w:val="19"/>
          <w:szCs w:val="19"/>
        </w:rPr>
        <w:t>the basis of race, religion, sex, or national origin</w:t>
      </w:r>
      <w:bookmarkEnd w:id="3"/>
      <w:bookmarkEnd w:id="4"/>
      <w:r>
        <w:rPr>
          <w:rFonts w:ascii="Times New Roman" w:hAnsi="Times New Roman" w:cs="Times New Roman"/>
          <w:color w:val="000000"/>
          <w:w w:val="109"/>
          <w:sz w:val="19"/>
          <w:szCs w:val="19"/>
        </w:rPr>
        <w:t xml:space="preserve"> </w:t>
      </w:r>
    </w:p>
    <w:p w:rsidR="00024FD7" w:rsidRDefault="00C471DC">
      <w:pPr>
        <w:widowControl w:val="0"/>
        <w:autoSpaceDE w:val="0"/>
        <w:autoSpaceDN w:val="0"/>
        <w:bidi w:val="0"/>
        <w:adjustRightInd w:val="0"/>
        <w:spacing w:before="64" w:after="0" w:line="280" w:lineRule="exact"/>
        <w:ind w:left="2430" w:right="120"/>
        <w:rPr>
          <w:rFonts w:ascii="Times New Roman" w:hAnsi="Times New Roman" w:cs="Times New Roman"/>
          <w:color w:val="000000"/>
          <w:w w:val="110"/>
          <w:sz w:val="19"/>
          <w:szCs w:val="19"/>
        </w:rPr>
      </w:pPr>
      <w:r>
        <w:rPr>
          <w:rFonts w:ascii="Times New Roman" w:hAnsi="Times New Roman" w:cs="Times New Roman"/>
          <w:color w:val="EE3123"/>
          <w:w w:val="113"/>
          <w:sz w:val="19"/>
          <w:szCs w:val="19"/>
        </w:rPr>
        <w:t xml:space="preserve">• </w:t>
      </w:r>
      <w:r>
        <w:rPr>
          <w:rFonts w:ascii="Times New Roman" w:hAnsi="Times New Roman" w:cs="Times New Roman"/>
          <w:color w:val="000000"/>
          <w:w w:val="113"/>
          <w:sz w:val="19"/>
          <w:szCs w:val="19"/>
        </w:rPr>
        <w:t xml:space="preserve">Furnishing information about business relationships with a boycotted country or </w:t>
      </w:r>
      <w:r>
        <w:rPr>
          <w:rFonts w:ascii="Times New Roman" w:hAnsi="Times New Roman" w:cs="Times New Roman"/>
          <w:color w:val="000000"/>
          <w:w w:val="110"/>
          <w:sz w:val="19"/>
          <w:szCs w:val="19"/>
        </w:rPr>
        <w:t xml:space="preserve">a blacklisted entity </w:t>
      </w:r>
    </w:p>
    <w:p w:rsidR="00024FD7" w:rsidRDefault="00C471DC">
      <w:pPr>
        <w:widowControl w:val="0"/>
        <w:autoSpaceDE w:val="0"/>
        <w:autoSpaceDN w:val="0"/>
        <w:bidi w:val="0"/>
        <w:adjustRightInd w:val="0"/>
        <w:spacing w:before="140" w:after="0" w:line="280" w:lineRule="exact"/>
        <w:ind w:left="2228" w:right="48"/>
        <w:jc w:val="both"/>
        <w:rPr>
          <w:rFonts w:ascii="Times New Roman" w:hAnsi="Times New Roman" w:cs="Times New Roman"/>
          <w:color w:val="000000"/>
          <w:w w:val="109"/>
          <w:sz w:val="19"/>
          <w:szCs w:val="19"/>
        </w:rPr>
      </w:pPr>
      <w:r>
        <w:rPr>
          <w:rFonts w:ascii="Times New Roman" w:hAnsi="Times New Roman" w:cs="Times New Roman"/>
          <w:color w:val="000000"/>
          <w:w w:val="109"/>
          <w:sz w:val="19"/>
          <w:szCs w:val="19"/>
        </w:rPr>
        <w:t xml:space="preserve">In addition, the EAR requires a U.S. person to notify the U.S. Department of Commerce if he or she receives a request to comply with an unsanctioned foreign boycott </w:t>
      </w:r>
    </w:p>
    <w:p w:rsidR="00024FD7" w:rsidRDefault="00024FD7">
      <w:pPr>
        <w:widowControl w:val="0"/>
        <w:autoSpaceDE w:val="0"/>
        <w:autoSpaceDN w:val="0"/>
        <w:bidi w:val="0"/>
        <w:adjustRightInd w:val="0"/>
        <w:spacing w:after="0" w:line="230" w:lineRule="exact"/>
        <w:ind w:left="2228"/>
        <w:rPr>
          <w:rFonts w:ascii="Times New Roman" w:hAnsi="Times New Roman" w:cs="Times New Roman"/>
          <w:color w:val="000000"/>
          <w:w w:val="109"/>
          <w:sz w:val="19"/>
          <w:szCs w:val="19"/>
        </w:rPr>
      </w:pPr>
    </w:p>
    <w:p w:rsidR="00024FD7" w:rsidRDefault="00C471DC">
      <w:pPr>
        <w:widowControl w:val="0"/>
        <w:autoSpaceDE w:val="0"/>
        <w:autoSpaceDN w:val="0"/>
        <w:bidi w:val="0"/>
        <w:adjustRightInd w:val="0"/>
        <w:spacing w:before="152" w:after="0" w:line="230" w:lineRule="exact"/>
        <w:ind w:left="2228"/>
        <w:rPr>
          <w:rFonts w:ascii="Times New Roman" w:hAnsi="Times New Roman" w:cs="Times New Roman"/>
          <w:b/>
          <w:bCs/>
          <w:color w:val="EE3123"/>
          <w:w w:val="10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EE3123"/>
          <w:w w:val="102"/>
          <w:sz w:val="20"/>
          <w:szCs w:val="20"/>
        </w:rPr>
        <w:t xml:space="preserve">U.S. Foreign Corrupt Practices Act </w:t>
      </w:r>
    </w:p>
    <w:p w:rsidR="00024FD7" w:rsidRDefault="00C471DC">
      <w:pPr>
        <w:widowControl w:val="0"/>
        <w:autoSpaceDE w:val="0"/>
        <w:autoSpaceDN w:val="0"/>
        <w:bidi w:val="0"/>
        <w:adjustRightInd w:val="0"/>
        <w:spacing w:before="160" w:after="0" w:line="218" w:lineRule="exact"/>
        <w:ind w:left="2228"/>
        <w:rPr>
          <w:rFonts w:ascii="Times New Roman" w:hAnsi="Times New Roman" w:cs="Times New Roman"/>
          <w:color w:val="000000"/>
          <w:w w:val="107"/>
          <w:sz w:val="19"/>
          <w:szCs w:val="19"/>
        </w:rPr>
      </w:pPr>
      <w:r>
        <w:rPr>
          <w:rFonts w:ascii="Times New Roman" w:hAnsi="Times New Roman" w:cs="Times New Roman"/>
          <w:color w:val="000000"/>
          <w:w w:val="107"/>
          <w:sz w:val="19"/>
          <w:szCs w:val="19"/>
        </w:rPr>
        <w:t xml:space="preserve">Under the Foreign Corrupt Practices Act (FCPA), it is unlawful for a U.S. person or </w:t>
      </w:r>
    </w:p>
    <w:p w:rsidR="00024FD7" w:rsidRDefault="00C471DC">
      <w:pPr>
        <w:widowControl w:val="0"/>
        <w:autoSpaceDE w:val="0"/>
        <w:autoSpaceDN w:val="0"/>
        <w:bidi w:val="0"/>
        <w:adjustRightInd w:val="0"/>
        <w:spacing w:before="42" w:after="0" w:line="218" w:lineRule="exact"/>
        <w:ind w:left="2223"/>
        <w:rPr>
          <w:rFonts w:ascii="Times New Roman" w:hAnsi="Times New Roman" w:cs="Times New Roman"/>
          <w:color w:val="000000"/>
          <w:w w:val="110"/>
          <w:sz w:val="19"/>
          <w:szCs w:val="19"/>
        </w:rPr>
      </w:pPr>
      <w:r>
        <w:rPr>
          <w:rFonts w:ascii="Times New Roman" w:hAnsi="Times New Roman" w:cs="Times New Roman"/>
          <w:color w:val="000000"/>
          <w:w w:val="110"/>
          <w:sz w:val="19"/>
          <w:szCs w:val="19"/>
        </w:rPr>
        <w:t xml:space="preserve">company (as well as any officer, director, employee, or agent of a company or any </w:t>
      </w:r>
    </w:p>
    <w:p w:rsidR="00024FD7" w:rsidRDefault="00C471DC">
      <w:pPr>
        <w:widowControl w:val="0"/>
        <w:autoSpaceDE w:val="0"/>
        <w:autoSpaceDN w:val="0"/>
        <w:bidi w:val="0"/>
        <w:adjustRightInd w:val="0"/>
        <w:spacing w:before="10" w:after="0" w:line="281" w:lineRule="exact"/>
        <w:ind w:left="2218" w:right="68" w:firstLine="5"/>
        <w:rPr>
          <w:rFonts w:ascii="Times New Roman" w:hAnsi="Times New Roman" w:cs="Times New Roman"/>
          <w:color w:val="000000"/>
          <w:w w:val="113"/>
          <w:sz w:val="19"/>
          <w:szCs w:val="19"/>
        </w:rPr>
      </w:pPr>
      <w:r>
        <w:rPr>
          <w:rFonts w:ascii="Times New Roman" w:hAnsi="Times New Roman" w:cs="Times New Roman"/>
          <w:color w:val="000000"/>
          <w:w w:val="112"/>
          <w:sz w:val="19"/>
          <w:szCs w:val="19"/>
        </w:rPr>
        <w:t xml:space="preserve">stockholder acting on behalf of the company) to offer, pay, or promise to pay money </w:t>
      </w:r>
      <w:r>
        <w:rPr>
          <w:rFonts w:ascii="Times New Roman" w:hAnsi="Times New Roman" w:cs="Times New Roman"/>
          <w:color w:val="000000"/>
          <w:w w:val="111"/>
          <w:sz w:val="19"/>
          <w:szCs w:val="19"/>
        </w:rPr>
        <w:t xml:space="preserve">or anything of value to any foreign official (or foreign political party or candidate </w:t>
      </w:r>
      <w:r>
        <w:rPr>
          <w:rFonts w:ascii="Times New Roman" w:hAnsi="Times New Roman" w:cs="Times New Roman"/>
          <w:color w:val="000000"/>
          <w:w w:val="111"/>
          <w:sz w:val="19"/>
          <w:szCs w:val="19"/>
        </w:rPr>
        <w:br/>
        <w:t xml:space="preserve">for foreign political office) </w:t>
      </w:r>
      <w:bookmarkStart w:id="5" w:name="OLE_LINK5"/>
      <w:bookmarkStart w:id="6" w:name="OLE_LINK6"/>
      <w:r>
        <w:rPr>
          <w:rFonts w:ascii="Times New Roman" w:hAnsi="Times New Roman" w:cs="Times New Roman"/>
          <w:color w:val="000000"/>
          <w:w w:val="111"/>
          <w:sz w:val="19"/>
          <w:szCs w:val="19"/>
        </w:rPr>
        <w:t xml:space="preserve">for the purpose of obtaining or retaining business; </w:t>
      </w:r>
      <w:r>
        <w:rPr>
          <w:rFonts w:ascii="Times New Roman" w:hAnsi="Times New Roman" w:cs="Times New Roman"/>
          <w:color w:val="000000"/>
          <w:w w:val="111"/>
          <w:sz w:val="19"/>
          <w:szCs w:val="19"/>
        </w:rPr>
        <w:br/>
        <w:t xml:space="preserve">authorization of any money, offer, gift, or promise authorizing the giving of anything </w:t>
      </w:r>
      <w:r>
        <w:rPr>
          <w:rFonts w:ascii="Times New Roman" w:hAnsi="Times New Roman" w:cs="Times New Roman"/>
          <w:color w:val="000000"/>
          <w:w w:val="110"/>
          <w:sz w:val="19"/>
          <w:szCs w:val="19"/>
        </w:rPr>
        <w:t>of value to any person while knowing that all or a portion of it will be offered</w:t>
      </w:r>
      <w:bookmarkEnd w:id="5"/>
      <w:bookmarkEnd w:id="6"/>
      <w:r>
        <w:rPr>
          <w:rFonts w:ascii="Times New Roman" w:hAnsi="Times New Roman" w:cs="Times New Roman"/>
          <w:color w:val="000000"/>
          <w:w w:val="110"/>
          <w:sz w:val="19"/>
          <w:szCs w:val="19"/>
        </w:rPr>
        <w:t xml:space="preserve">, given, or promised—directly or indirectly—to any foreign official (or foreign political party or candidate for foreign political office) for the purposes of assisting the U.S. person </w:t>
      </w:r>
      <w:r>
        <w:rPr>
          <w:rFonts w:ascii="Times New Roman" w:hAnsi="Times New Roman" w:cs="Times New Roman"/>
          <w:color w:val="000000"/>
          <w:w w:val="111"/>
          <w:sz w:val="19"/>
          <w:szCs w:val="19"/>
        </w:rPr>
        <w:t>or company in obtaining or retaining business.</w:t>
      </w:r>
      <w:bookmarkStart w:id="7" w:name="OLE_LINK7"/>
      <w:bookmarkStart w:id="8" w:name="OLE_LINK8"/>
      <w:r>
        <w:rPr>
          <w:rFonts w:ascii="Times New Roman" w:hAnsi="Times New Roman" w:cs="Times New Roman"/>
          <w:color w:val="000000"/>
          <w:w w:val="111"/>
          <w:sz w:val="19"/>
          <w:szCs w:val="19"/>
        </w:rPr>
        <w:t xml:space="preserve"> "Knowing" includes the concepts of </w:t>
      </w:r>
      <w:r>
        <w:rPr>
          <w:rFonts w:ascii="Times New Roman" w:hAnsi="Times New Roman" w:cs="Times New Roman"/>
          <w:color w:val="000000"/>
          <w:w w:val="109"/>
          <w:sz w:val="19"/>
          <w:szCs w:val="19"/>
        </w:rPr>
        <w:t>conscious disregard and willful blindness.</w:t>
      </w:r>
      <w:bookmarkEnd w:id="7"/>
      <w:bookmarkEnd w:id="8"/>
      <w:r>
        <w:rPr>
          <w:rFonts w:ascii="Times New Roman" w:hAnsi="Times New Roman" w:cs="Times New Roman"/>
          <w:color w:val="000000"/>
          <w:w w:val="109"/>
          <w:sz w:val="19"/>
          <w:szCs w:val="19"/>
        </w:rPr>
        <w:t xml:space="preserve"> </w:t>
      </w:r>
      <w:bookmarkStart w:id="9" w:name="OLE_LINK9"/>
      <w:bookmarkStart w:id="10" w:name="OLE_LINK10"/>
      <w:r>
        <w:rPr>
          <w:rFonts w:ascii="Times New Roman" w:hAnsi="Times New Roman" w:cs="Times New Roman"/>
          <w:color w:val="000000"/>
          <w:w w:val="109"/>
          <w:sz w:val="19"/>
          <w:szCs w:val="19"/>
        </w:rPr>
        <w:t xml:space="preserve">The FCPA also covers foreign persons or </w:t>
      </w:r>
      <w:r>
        <w:rPr>
          <w:rFonts w:ascii="Times New Roman" w:hAnsi="Times New Roman" w:cs="Times New Roman"/>
          <w:color w:val="000000"/>
          <w:w w:val="113"/>
          <w:sz w:val="19"/>
          <w:szCs w:val="19"/>
        </w:rPr>
        <w:t xml:space="preserve">companies that commit acts in furtherance of such bribery in the territory of the </w:t>
      </w:r>
      <w:r>
        <w:rPr>
          <w:rFonts w:ascii="Times New Roman" w:hAnsi="Times New Roman" w:cs="Times New Roman"/>
          <w:color w:val="000000"/>
          <w:w w:val="113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w w:val="110"/>
          <w:sz w:val="19"/>
          <w:szCs w:val="19"/>
        </w:rPr>
        <w:t xml:space="preserve">United States, as well as U.S. or foreign public companies listed on stock exchanges in </w:t>
      </w:r>
      <w:r>
        <w:rPr>
          <w:rFonts w:ascii="Times New Roman" w:hAnsi="Times New Roman" w:cs="Times New Roman"/>
          <w:color w:val="000000"/>
          <w:w w:val="111"/>
          <w:sz w:val="19"/>
          <w:szCs w:val="19"/>
        </w:rPr>
        <w:t xml:space="preserve">the United States or which are required to file periodic reports with the U.S. Securities </w:t>
      </w:r>
      <w:r>
        <w:rPr>
          <w:rFonts w:ascii="Times New Roman" w:hAnsi="Times New Roman" w:cs="Times New Roman"/>
          <w:color w:val="000000"/>
          <w:w w:val="109"/>
          <w:sz w:val="19"/>
          <w:szCs w:val="19"/>
        </w:rPr>
        <w:t>and Exchange Commission.</w:t>
      </w:r>
      <w:bookmarkEnd w:id="9"/>
      <w:bookmarkEnd w:id="10"/>
      <w:r>
        <w:rPr>
          <w:rFonts w:ascii="Times New Roman" w:hAnsi="Times New Roman" w:cs="Times New Roman"/>
          <w:color w:val="000000"/>
          <w:w w:val="109"/>
          <w:sz w:val="19"/>
          <w:szCs w:val="19"/>
        </w:rPr>
        <w:t xml:space="preserve"> </w:t>
      </w:r>
      <w:bookmarkStart w:id="11" w:name="_GoBack"/>
      <w:r>
        <w:rPr>
          <w:rFonts w:ascii="Times New Roman" w:hAnsi="Times New Roman" w:cs="Times New Roman"/>
          <w:color w:val="000000"/>
          <w:w w:val="109"/>
          <w:sz w:val="19"/>
          <w:szCs w:val="19"/>
        </w:rPr>
        <w:t xml:space="preserve">The FCPA accounting provisions require such publicly </w:t>
      </w:r>
      <w:r>
        <w:rPr>
          <w:rFonts w:ascii="Times New Roman" w:hAnsi="Times New Roman" w:cs="Times New Roman"/>
          <w:color w:val="000000"/>
          <w:w w:val="113"/>
          <w:sz w:val="19"/>
          <w:szCs w:val="19"/>
        </w:rPr>
        <w:t xml:space="preserve">listed companies to make and keep accurate books and records and to devise </w:t>
      </w:r>
      <w:r>
        <w:rPr>
          <w:rFonts w:ascii="Times New Roman" w:hAnsi="Times New Roman" w:cs="Times New Roman"/>
          <w:color w:val="000000"/>
          <w:w w:val="113"/>
          <w:sz w:val="19"/>
          <w:szCs w:val="19"/>
        </w:rPr>
        <w:br/>
        <w:t xml:space="preserve">and maintain an adequate system of internal accounting controls. </w:t>
      </w:r>
      <w:bookmarkEnd w:id="11"/>
      <w:r>
        <w:rPr>
          <w:rFonts w:ascii="Times New Roman" w:hAnsi="Times New Roman" w:cs="Times New Roman"/>
          <w:color w:val="000000"/>
          <w:w w:val="113"/>
          <w:sz w:val="19"/>
          <w:szCs w:val="19"/>
        </w:rPr>
        <w:t xml:space="preserve">The accounting </w:t>
      </w:r>
    </w:p>
    <w:p w:rsidR="00024FD7" w:rsidRDefault="00024FD7">
      <w:pPr>
        <w:widowControl w:val="0"/>
        <w:autoSpaceDE w:val="0"/>
        <w:autoSpaceDN w:val="0"/>
        <w:bidi w:val="0"/>
        <w:adjustRightInd w:val="0"/>
        <w:spacing w:after="0" w:line="276" w:lineRule="exact"/>
        <w:ind w:left="20"/>
        <w:rPr>
          <w:rFonts w:ascii="Times New Roman" w:hAnsi="Times New Roman" w:cs="Times New Roman"/>
          <w:color w:val="000000"/>
          <w:w w:val="113"/>
          <w:sz w:val="19"/>
          <w:szCs w:val="19"/>
        </w:rPr>
      </w:pPr>
    </w:p>
    <w:p w:rsidR="00024FD7" w:rsidRDefault="00024FD7">
      <w:pPr>
        <w:widowControl w:val="0"/>
        <w:autoSpaceDE w:val="0"/>
        <w:autoSpaceDN w:val="0"/>
        <w:bidi w:val="0"/>
        <w:adjustRightInd w:val="0"/>
        <w:spacing w:after="0" w:line="276" w:lineRule="exact"/>
        <w:ind w:left="20"/>
        <w:rPr>
          <w:rFonts w:ascii="Times New Roman" w:hAnsi="Times New Roman" w:cs="Times New Roman"/>
          <w:color w:val="000000"/>
          <w:w w:val="113"/>
          <w:sz w:val="19"/>
          <w:szCs w:val="19"/>
        </w:rPr>
      </w:pPr>
    </w:p>
    <w:p w:rsidR="00024FD7" w:rsidRDefault="00024FD7">
      <w:pPr>
        <w:widowControl w:val="0"/>
        <w:autoSpaceDE w:val="0"/>
        <w:autoSpaceDN w:val="0"/>
        <w:bidi w:val="0"/>
        <w:adjustRightInd w:val="0"/>
        <w:spacing w:after="0" w:line="276" w:lineRule="exact"/>
        <w:ind w:left="20"/>
        <w:rPr>
          <w:rFonts w:ascii="Times New Roman" w:hAnsi="Times New Roman" w:cs="Times New Roman"/>
          <w:color w:val="000000"/>
          <w:w w:val="113"/>
          <w:sz w:val="19"/>
          <w:szCs w:val="19"/>
        </w:rPr>
      </w:pPr>
    </w:p>
    <w:p w:rsidR="00024FD7" w:rsidRDefault="00C471DC">
      <w:pPr>
        <w:widowControl w:val="0"/>
        <w:tabs>
          <w:tab w:val="left" w:pos="3908"/>
          <w:tab w:val="left" w:pos="6601"/>
        </w:tabs>
        <w:autoSpaceDE w:val="0"/>
        <w:autoSpaceDN w:val="0"/>
        <w:bidi w:val="0"/>
        <w:adjustRightInd w:val="0"/>
        <w:spacing w:before="42" w:after="0" w:line="276" w:lineRule="exact"/>
        <w:ind w:left="20"/>
        <w:rPr>
          <w:rFonts w:ascii="Times New Roman" w:hAnsi="Times New Roman" w:cs="Times New Roman"/>
          <w:b/>
          <w:bCs/>
          <w:color w:val="FFFFFF"/>
          <w:w w:val="118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FFFF"/>
          <w:w w:val="113"/>
          <w:position w:val="-2"/>
          <w:sz w:val="24"/>
          <w:szCs w:val="24"/>
        </w:rPr>
        <w:t>108</w:t>
      </w:r>
      <w:r>
        <w:rPr>
          <w:rFonts w:ascii="Times New Roman" w:hAnsi="Times New Roman" w:cs="Times New Roman"/>
          <w:b/>
          <w:bCs/>
          <w:color w:val="FFFFFF"/>
          <w:w w:val="113"/>
          <w:position w:val="-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FFFFFF"/>
          <w:w w:val="114"/>
          <w:sz w:val="20"/>
          <w:szCs w:val="20"/>
        </w:rPr>
        <w:t>U.S. Commercial Service</w:t>
      </w:r>
      <w:r>
        <w:rPr>
          <w:rFonts w:ascii="Times New Roman" w:hAnsi="Times New Roman" w:cs="Times New Roman"/>
          <w:b/>
          <w:bCs/>
          <w:color w:val="FFFFFF"/>
          <w:w w:val="114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FFFFFF"/>
          <w:w w:val="118"/>
          <w:sz w:val="20"/>
          <w:szCs w:val="20"/>
        </w:rPr>
        <w:t>• A Basic Guide to Exporting</w:t>
      </w:r>
    </w:p>
    <w:p w:rsidR="00024FD7" w:rsidRDefault="00024FD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w w:val="118"/>
          <w:sz w:val="24"/>
          <w:szCs w:val="24"/>
        </w:rPr>
      </w:pPr>
    </w:p>
    <w:sectPr w:rsidR="00024FD7">
      <w:pgSz w:w="12240" w:h="15840"/>
      <w:pgMar w:top="-1399" w:right="1370" w:bottom="-20" w:left="102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1DC"/>
    <w:rsid w:val="00024FD7"/>
    <w:rsid w:val="00601EFF"/>
    <w:rsid w:val="00C471DC"/>
    <w:rsid w:val="00DE0F7A"/>
    <w:rsid w:val="00F1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91C81666-F707-40F1-A11E-3DD502A3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mmyf</cp:lastModifiedBy>
  <cp:revision>5</cp:revision>
  <dcterms:created xsi:type="dcterms:W3CDTF">2021-03-17T15:10:00Z</dcterms:created>
  <dcterms:modified xsi:type="dcterms:W3CDTF">2021-03-22T14:38:00Z</dcterms:modified>
</cp:coreProperties>
</file>